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E37" w:rsidRDefault="00E45E37" w:rsidP="00E45E37">
      <w:pPr>
        <w:spacing w:line="480" w:lineRule="auto"/>
        <w:jc w:val="center"/>
        <w:rPr>
          <w:b/>
        </w:rPr>
      </w:pPr>
    </w:p>
    <w:p w:rsidR="00E45E37" w:rsidRDefault="00E45E37" w:rsidP="00E45E37">
      <w:pPr>
        <w:spacing w:line="480" w:lineRule="auto"/>
        <w:jc w:val="center"/>
        <w:rPr>
          <w:b/>
        </w:rPr>
      </w:pPr>
    </w:p>
    <w:p w:rsidR="00E45E37" w:rsidRDefault="00E45E37" w:rsidP="00E45E37">
      <w:pPr>
        <w:spacing w:line="480" w:lineRule="auto"/>
        <w:jc w:val="center"/>
        <w:rPr>
          <w:b/>
        </w:rPr>
      </w:pPr>
    </w:p>
    <w:p w:rsidR="00E45E37" w:rsidRDefault="00E45E37" w:rsidP="00E45E37">
      <w:pPr>
        <w:spacing w:line="480" w:lineRule="auto"/>
        <w:jc w:val="center"/>
        <w:rPr>
          <w:b/>
        </w:rPr>
      </w:pPr>
    </w:p>
    <w:p w:rsidR="00E45E37" w:rsidRDefault="00E45E37" w:rsidP="00E45E37">
      <w:pPr>
        <w:spacing w:line="480" w:lineRule="auto"/>
        <w:jc w:val="center"/>
        <w:rPr>
          <w:b/>
        </w:rPr>
      </w:pPr>
    </w:p>
    <w:p w:rsidR="000F76FF" w:rsidRPr="00E45E37" w:rsidRDefault="00F266E5" w:rsidP="00E45E37">
      <w:pPr>
        <w:spacing w:line="480" w:lineRule="auto"/>
        <w:jc w:val="center"/>
        <w:rPr>
          <w:b/>
        </w:rPr>
      </w:pPr>
      <w:r w:rsidRPr="00E45E37">
        <w:rPr>
          <w:b/>
        </w:rPr>
        <w:t>Psychological Aspects of Disability – Reflection Paper</w:t>
      </w:r>
    </w:p>
    <w:p w:rsidR="00E45E37" w:rsidRDefault="00E45E37" w:rsidP="00E45E37">
      <w:pPr>
        <w:spacing w:line="480" w:lineRule="auto"/>
        <w:jc w:val="center"/>
      </w:pPr>
    </w:p>
    <w:p w:rsidR="00E45E37" w:rsidRDefault="00E45E37" w:rsidP="00E45E37">
      <w:pPr>
        <w:spacing w:line="480" w:lineRule="auto"/>
        <w:jc w:val="center"/>
      </w:pPr>
    </w:p>
    <w:p w:rsidR="00E45E37" w:rsidRDefault="00E45E37" w:rsidP="00FD0B27">
      <w:pPr>
        <w:spacing w:line="480" w:lineRule="auto"/>
      </w:pPr>
    </w:p>
    <w:p w:rsidR="00F266E5" w:rsidRPr="00E45E37" w:rsidRDefault="00F266E5" w:rsidP="00E45E37">
      <w:pPr>
        <w:spacing w:line="480" w:lineRule="auto"/>
        <w:jc w:val="center"/>
      </w:pPr>
      <w:r w:rsidRPr="00E45E37">
        <w:t>Student’s Name</w:t>
      </w:r>
    </w:p>
    <w:p w:rsidR="00F266E5" w:rsidRPr="00E45E37" w:rsidRDefault="00F266E5" w:rsidP="00E45E37">
      <w:pPr>
        <w:spacing w:line="480" w:lineRule="auto"/>
        <w:jc w:val="center"/>
      </w:pPr>
      <w:r w:rsidRPr="00E45E37">
        <w:t>Institution of Affiliation</w:t>
      </w:r>
    </w:p>
    <w:p w:rsidR="00F266E5" w:rsidRPr="00E45E37" w:rsidRDefault="00F266E5" w:rsidP="00E45E37">
      <w:pPr>
        <w:spacing w:line="480" w:lineRule="auto"/>
        <w:jc w:val="center"/>
      </w:pPr>
      <w:r w:rsidRPr="00E45E37">
        <w:t>Course Code and Name</w:t>
      </w:r>
    </w:p>
    <w:p w:rsidR="00F266E5" w:rsidRPr="00E45E37" w:rsidRDefault="00F266E5" w:rsidP="00E45E37">
      <w:pPr>
        <w:spacing w:line="480" w:lineRule="auto"/>
        <w:jc w:val="center"/>
      </w:pPr>
      <w:r w:rsidRPr="00E45E37">
        <w:t>Professor</w:t>
      </w:r>
    </w:p>
    <w:p w:rsidR="00F266E5" w:rsidRPr="00E45E37" w:rsidRDefault="00F266E5" w:rsidP="00E45E37">
      <w:pPr>
        <w:spacing w:line="480" w:lineRule="auto"/>
        <w:jc w:val="center"/>
      </w:pPr>
      <w:r w:rsidRPr="00E45E37">
        <w:t>Date</w:t>
      </w:r>
    </w:p>
    <w:p w:rsidR="00FD0B27" w:rsidRDefault="00FD0B27" w:rsidP="00E45E37">
      <w:pPr>
        <w:spacing w:line="480" w:lineRule="auto"/>
        <w:jc w:val="center"/>
      </w:pPr>
    </w:p>
    <w:p w:rsidR="00FD0B27" w:rsidRDefault="00FD0B27" w:rsidP="00E45E37">
      <w:pPr>
        <w:spacing w:line="480" w:lineRule="auto"/>
        <w:jc w:val="center"/>
      </w:pPr>
    </w:p>
    <w:p w:rsidR="00FD0B27" w:rsidRDefault="00FD0B27" w:rsidP="00FD0B27">
      <w:pPr>
        <w:spacing w:line="480" w:lineRule="auto"/>
      </w:pPr>
    </w:p>
    <w:p w:rsidR="0066484E" w:rsidRPr="00E45E37" w:rsidRDefault="0066484E" w:rsidP="00FD0B27">
      <w:pPr>
        <w:spacing w:line="480" w:lineRule="auto"/>
        <w:jc w:val="center"/>
      </w:pPr>
      <w:r w:rsidRPr="00E45E37">
        <w:lastRenderedPageBreak/>
        <w:t>Abstract</w:t>
      </w:r>
    </w:p>
    <w:p w:rsidR="00F266E5" w:rsidRPr="00E45E37" w:rsidRDefault="00F266E5" w:rsidP="00E45E37">
      <w:pPr>
        <w:spacing w:line="240" w:lineRule="auto"/>
        <w:ind w:firstLine="720"/>
      </w:pPr>
      <w:r w:rsidRPr="00E45E37">
        <w:t xml:space="preserve">Huntington’s disease (HD) is a life threatening genetic disorder that is characterized by a triad of motor, psychiatric, and cognitive impairments. The defect giving rise to the disease is a mutation of the Huntingtin gene on the short arm of chromosome 4p16.3 that is inherited in the autosomal dominant fashion. This mutation leads to the production of a mutant huntingtin protein that contains a long poly-glutamine sequence thanks to the cytosine-adenine-guanine (CAG) triplet series repeats caused by the mutation. </w:t>
      </w:r>
      <w:r w:rsidR="000A1C11">
        <w:t xml:space="preserve">The mutant protein thus formed is toxic to the brain cells causing progressive neurodegeneration in mainly the corpus striatum. </w:t>
      </w:r>
      <w:r w:rsidRPr="00E45E37">
        <w:t xml:space="preserve">The onset of the </w:t>
      </w:r>
      <w:r w:rsidR="000A1C11">
        <w:t xml:space="preserve">symptoms of the </w:t>
      </w:r>
      <w:r w:rsidRPr="00E45E37">
        <w:t xml:space="preserve">disease varies with the number of CAG repeats such that the more the repeats or the longer the poly-glutamine sequence on the defective protein, the earlier the onset of the disease. </w:t>
      </w:r>
      <w:r w:rsidR="000A1C11">
        <w:t xml:space="preserve">The disease has no cure and hence currently there is the application of symptomatology management of the disease using both pharmacologic and non-pharmacologic interventions. </w:t>
      </w:r>
      <w:r w:rsidRPr="00E45E37">
        <w:t xml:space="preserve">The disease is associated with considerable occupational, societal, and discrimination issues that range from work safety to discrimination in seeking insurance to stigmatization in the workplace among other scenarios. In helping these patients to deal with issues, there is the important role assumed by </w:t>
      </w:r>
      <w:r w:rsidR="00E45E37" w:rsidRPr="00E45E37">
        <w:t>rehabilitation</w:t>
      </w:r>
      <w:r w:rsidRPr="00E45E37">
        <w:t xml:space="preserve"> counselors in helping the patient cope with their conditions batter in addition to the code of conduct regulations that govern the doctor/patient relationship to accord these patients and those at risk of development of the disease a fair chance at a “normal” life.</w:t>
      </w:r>
    </w:p>
    <w:p w:rsidR="00E45E37" w:rsidRDefault="00E45E37"/>
    <w:p w:rsidR="00E45E37" w:rsidRDefault="00E45E37">
      <w:r>
        <w:br w:type="page"/>
      </w:r>
    </w:p>
    <w:p w:rsidR="00E45E37" w:rsidRPr="00FD0B27" w:rsidRDefault="00A32854" w:rsidP="00E45E37">
      <w:pPr>
        <w:spacing w:line="480" w:lineRule="auto"/>
        <w:jc w:val="center"/>
        <w:rPr>
          <w:b/>
        </w:rPr>
      </w:pPr>
      <w:r w:rsidRPr="00FD0B27">
        <w:rPr>
          <w:b/>
        </w:rPr>
        <w:lastRenderedPageBreak/>
        <w:t>Huntington’s disease</w:t>
      </w:r>
      <w:r w:rsidR="00E45E37" w:rsidRPr="00FD0B27">
        <w:rPr>
          <w:b/>
        </w:rPr>
        <w:t xml:space="preserve"> (HD)</w:t>
      </w:r>
    </w:p>
    <w:p w:rsidR="0066484E" w:rsidRPr="000A1C11" w:rsidRDefault="0066484E" w:rsidP="00FD0B27">
      <w:pPr>
        <w:spacing w:line="480" w:lineRule="auto"/>
        <w:jc w:val="center"/>
        <w:rPr>
          <w:b/>
        </w:rPr>
      </w:pPr>
      <w:r w:rsidRPr="000A1C11">
        <w:rPr>
          <w:b/>
        </w:rPr>
        <w:t>Introduction</w:t>
      </w:r>
      <w:r w:rsidR="00F266E5" w:rsidRPr="000A1C11">
        <w:rPr>
          <w:b/>
        </w:rPr>
        <w:t xml:space="preserve"> - </w:t>
      </w:r>
      <w:r w:rsidRPr="000A1C11">
        <w:rPr>
          <w:b/>
        </w:rPr>
        <w:t>Definition of the Disability</w:t>
      </w:r>
    </w:p>
    <w:p w:rsidR="009733C3" w:rsidRPr="00E45E37" w:rsidRDefault="00321B48" w:rsidP="00BA730E">
      <w:pPr>
        <w:spacing w:line="480" w:lineRule="auto"/>
        <w:ind w:firstLine="720"/>
      </w:pPr>
      <w:r w:rsidRPr="00E45E37">
        <w:t xml:space="preserve">Huntington’s </w:t>
      </w:r>
      <w:r w:rsidR="00FA3959" w:rsidRPr="00E45E37">
        <w:t>d</w:t>
      </w:r>
      <w:r w:rsidRPr="00E45E37">
        <w:t>isease</w:t>
      </w:r>
      <w:r w:rsidR="00FA3959" w:rsidRPr="00E45E37">
        <w:t xml:space="preserve"> (HD), also referred to as </w:t>
      </w:r>
      <w:r w:rsidRPr="00E45E37">
        <w:t>Huntington’</w:t>
      </w:r>
      <w:r w:rsidR="00FA3959" w:rsidRPr="00E45E37">
        <w:t>s c</w:t>
      </w:r>
      <w:r w:rsidRPr="00E45E37">
        <w:t>horea, is a life threatening genetic disorder that causes</w:t>
      </w:r>
      <w:r w:rsidR="00FA3959" w:rsidRPr="00E45E37">
        <w:t xml:space="preserve"> the progressive breakdown of nerve cells in the brain (</w:t>
      </w:r>
      <w:r w:rsidR="000F76FF" w:rsidRPr="00E45E37">
        <w:t>NINDS, 2020</w:t>
      </w:r>
      <w:r w:rsidR="00FA3959" w:rsidRPr="00E45E37">
        <w:t>). This progressive death of brain cells results in the progressive deterioration of a person’s physical and mental abilities and especially during their prime working years. Being a genetic disease, it is typically inherited, however, in up to 10% of the cases, the disease developed as a result of new mutation (</w:t>
      </w:r>
      <w:proofErr w:type="spellStart"/>
      <w:r w:rsidR="000F76FF" w:rsidRPr="00E45E37">
        <w:t>Dayalu</w:t>
      </w:r>
      <w:proofErr w:type="spellEnd"/>
      <w:r w:rsidR="000F76FF" w:rsidRPr="00E45E37">
        <w:t xml:space="preserve"> &amp; </w:t>
      </w:r>
      <w:proofErr w:type="spellStart"/>
      <w:r w:rsidR="000F76FF" w:rsidRPr="00E45E37">
        <w:t>Albin</w:t>
      </w:r>
      <w:proofErr w:type="spellEnd"/>
      <w:r w:rsidR="000F76FF" w:rsidRPr="00E45E37">
        <w:t>, 2015</w:t>
      </w:r>
      <w:r w:rsidR="00FA3959" w:rsidRPr="00E45E37">
        <w:t xml:space="preserve">). The mutation producing the disease is an autosomal dominant mutation that </w:t>
      </w:r>
      <w:r w:rsidR="00740400" w:rsidRPr="00E45E37">
        <w:t xml:space="preserve">only affects an individual’s single copy of </w:t>
      </w:r>
      <w:r w:rsidR="00C22B88" w:rsidRPr="00E45E37">
        <w:t xml:space="preserve">the </w:t>
      </w:r>
      <w:r w:rsidR="00740400" w:rsidRPr="00E45E37">
        <w:t>g</w:t>
      </w:r>
      <w:r w:rsidR="000F76FF" w:rsidRPr="00E45E37">
        <w:t>ene referred to as huntingtin (NINDS, 2020</w:t>
      </w:r>
      <w:r w:rsidR="00740400" w:rsidRPr="00E45E37">
        <w:t>).</w:t>
      </w:r>
      <w:r w:rsidR="00FA3959" w:rsidRPr="00E45E37">
        <w:t xml:space="preserve"> </w:t>
      </w:r>
      <w:r w:rsidR="00740400" w:rsidRPr="00E45E37">
        <w:t xml:space="preserve">Being caused by an autosomal dominant mutation, the disease has acquired the designation as a quintessential family disease solely because every child of an affect parent will have a 50% chance </w:t>
      </w:r>
      <w:r w:rsidR="000F76FF" w:rsidRPr="00E45E37">
        <w:t>of inheriting the faulty gene (NINDS, 2020</w:t>
      </w:r>
      <w:r w:rsidR="00740400" w:rsidRPr="00E45E37">
        <w:t>). In terms of incidence and prevalence rates</w:t>
      </w:r>
      <w:r w:rsidR="003506CF" w:rsidRPr="00E45E37">
        <w:t>, there are approximately 41,000 symptomatic patients with the disease in the United States of America, with more than 200,000 more people being at-r</w:t>
      </w:r>
      <w:r w:rsidR="000F76FF" w:rsidRPr="00E45E37">
        <w:t>isk of inheriting the disease (Lawrence, 2009</w:t>
      </w:r>
      <w:r w:rsidR="003506CF" w:rsidRPr="00E45E37">
        <w:t xml:space="preserve">). </w:t>
      </w:r>
      <w:r w:rsidR="00AE1A93" w:rsidRPr="00E45E37">
        <w:t>The estimated prevalence rate of the disease among Caucasian population is between 1 in 10,000 people to 1 in 20,000 people (</w:t>
      </w:r>
      <w:proofErr w:type="spellStart"/>
      <w:r w:rsidR="00AE1A93" w:rsidRPr="00E45E37">
        <w:t>Roos</w:t>
      </w:r>
      <w:proofErr w:type="spellEnd"/>
      <w:r w:rsidR="00AE1A93" w:rsidRPr="00E45E37">
        <w:t>, 2010).</w:t>
      </w:r>
    </w:p>
    <w:p w:rsidR="003506CF" w:rsidRPr="000A1C11" w:rsidRDefault="003506CF" w:rsidP="00FD0B27">
      <w:pPr>
        <w:spacing w:line="480" w:lineRule="auto"/>
        <w:jc w:val="center"/>
        <w:rPr>
          <w:b/>
        </w:rPr>
      </w:pPr>
      <w:r w:rsidRPr="000A1C11">
        <w:rPr>
          <w:b/>
        </w:rPr>
        <w:t>Pathophysiology</w:t>
      </w:r>
    </w:p>
    <w:p w:rsidR="003506CF" w:rsidRPr="00E45E37" w:rsidRDefault="003506CF" w:rsidP="00BA730E">
      <w:pPr>
        <w:spacing w:line="480" w:lineRule="auto"/>
        <w:ind w:firstLine="720"/>
      </w:pPr>
      <w:r w:rsidRPr="00E45E37">
        <w:t xml:space="preserve">HD is a hereditary neuro-degenerative disease that </w:t>
      </w:r>
      <w:r w:rsidR="00937F13" w:rsidRPr="00E45E37">
        <w:t xml:space="preserve">is develops following an autosomal dominant mutation of the huntingtin gene that is located on </w:t>
      </w:r>
      <w:r w:rsidR="007328C7" w:rsidRPr="00E45E37">
        <w:t xml:space="preserve">the short arm of </w:t>
      </w:r>
      <w:r w:rsidR="00937F13" w:rsidRPr="00E45E37">
        <w:t>chromosome 4</w:t>
      </w:r>
      <w:r w:rsidR="007328C7" w:rsidRPr="00E45E37">
        <w:t>p16.3 (</w:t>
      </w:r>
      <w:proofErr w:type="spellStart"/>
      <w:r w:rsidR="007328C7" w:rsidRPr="00E45E37">
        <w:t>Roos</w:t>
      </w:r>
      <w:proofErr w:type="spellEnd"/>
      <w:r w:rsidR="007328C7" w:rsidRPr="00E45E37">
        <w:t>, 2010)</w:t>
      </w:r>
      <w:r w:rsidR="00937F13" w:rsidRPr="00E45E37">
        <w:t>. This mutation causes the expansion of a repeating cytosine-adenine-guanine (CAG) triplet series in this gene</w:t>
      </w:r>
      <w:r w:rsidR="00AE1A93" w:rsidRPr="00E45E37">
        <w:t>, about 36 repeats or more (</w:t>
      </w:r>
      <w:proofErr w:type="spellStart"/>
      <w:r w:rsidR="00AE1A93" w:rsidRPr="00E45E37">
        <w:t>Roos</w:t>
      </w:r>
      <w:proofErr w:type="spellEnd"/>
      <w:r w:rsidR="00AE1A93" w:rsidRPr="00E45E37">
        <w:t>, 2010),</w:t>
      </w:r>
      <w:r w:rsidR="00937F13" w:rsidRPr="00E45E37">
        <w:t xml:space="preserve"> which results in the formation of an abnormal huntingtin protein that is characterized by an abnormally long poly-</w:t>
      </w:r>
      <w:r w:rsidR="00937F13" w:rsidRPr="00E45E37">
        <w:lastRenderedPageBreak/>
        <w:t xml:space="preserve">glutamine </w:t>
      </w:r>
      <w:r w:rsidR="00C22B88" w:rsidRPr="00E45E37">
        <w:t xml:space="preserve">sequence. </w:t>
      </w:r>
      <w:r w:rsidR="00937F13" w:rsidRPr="00E45E37">
        <w:t>The formation of this protein qualifies the categorization of HD as one of a larger family of poly-glutamine repeat disorders, all of which ar</w:t>
      </w:r>
      <w:r w:rsidR="00616710" w:rsidRPr="00E45E37">
        <w:t>e neuro-degenerative diseases (Lawrence, 2009</w:t>
      </w:r>
      <w:r w:rsidR="00937F13" w:rsidRPr="00E45E37">
        <w:t>). The abnormal hunting</w:t>
      </w:r>
      <w:r w:rsidR="003F22F7" w:rsidRPr="00E45E37">
        <w:t>t</w:t>
      </w:r>
      <w:r w:rsidR="00937F13" w:rsidRPr="00E45E37">
        <w:t xml:space="preserve">in protein thus formed </w:t>
      </w:r>
      <w:r w:rsidR="003F22F7" w:rsidRPr="00E45E37">
        <w:t>is speculated to be toxic to the brain cells; a function that is attributed to the extended poly-glutamine sequence that is contained within the abnormal protein. There are certain areas of the brain that contain neurons that are highly vulnerable to this sequence, as is evidenced by the neurological studies of the oth</w:t>
      </w:r>
      <w:r w:rsidR="000A1C11">
        <w:t>er neurodegenerative diseases. The macroscopic pathology of the disease is atrophy mostly marked in the corpus striatum of the basal ganglia, including the caudate and putamen</w:t>
      </w:r>
      <w:r w:rsidR="003E4E89">
        <w:t xml:space="preserve"> (HDSA, 2020)</w:t>
      </w:r>
      <w:r w:rsidR="000A1C11">
        <w:t>. In later phases</w:t>
      </w:r>
      <w:r w:rsidR="003E4E89">
        <w:t xml:space="preserve"> of the disease, other regions of the brain also become affected (HDSA, 2020).</w:t>
      </w:r>
    </w:p>
    <w:p w:rsidR="00C22B88" w:rsidRPr="000A1C11" w:rsidRDefault="00C22B88" w:rsidP="00FD0B27">
      <w:pPr>
        <w:spacing w:line="480" w:lineRule="auto"/>
        <w:jc w:val="center"/>
        <w:rPr>
          <w:b/>
        </w:rPr>
      </w:pPr>
      <w:r w:rsidRPr="000A1C11">
        <w:rPr>
          <w:b/>
        </w:rPr>
        <w:t>Symptoms and Characteristics</w:t>
      </w:r>
    </w:p>
    <w:p w:rsidR="007328C7" w:rsidRPr="00E45E37" w:rsidRDefault="00C22B88" w:rsidP="00BA730E">
      <w:pPr>
        <w:spacing w:line="480" w:lineRule="auto"/>
        <w:ind w:firstLine="720"/>
      </w:pPr>
      <w:r w:rsidRPr="00E45E37">
        <w:t>Patients suffering from Huntington disease usually exp</w:t>
      </w:r>
      <w:r w:rsidR="007328C7" w:rsidRPr="00E45E37">
        <w:t>erience impacts of the disease o</w:t>
      </w:r>
      <w:r w:rsidRPr="00E45E37">
        <w:t>n their functional abilities, usually with resultant movement, thinking (cognitive), and psychiatric disorders. The onset of thes</w:t>
      </w:r>
      <w:r w:rsidR="007328C7" w:rsidRPr="00E45E37">
        <w:t>e symptoms can occur at any age</w:t>
      </w:r>
      <w:r w:rsidRPr="00E45E37">
        <w:t>, but the</w:t>
      </w:r>
      <w:r w:rsidR="007328C7" w:rsidRPr="00E45E37">
        <w:t>y often appear when the patients</w:t>
      </w:r>
      <w:r w:rsidRPr="00E45E37">
        <w:t xml:space="preserve"> reach the ages of between 30 years and 40 years (mean age of onset of symptoms being between 30-50 years)(Mayo Clinic, 2020</w:t>
      </w:r>
      <w:r w:rsidR="00AE1A93" w:rsidRPr="00E45E37">
        <w:t xml:space="preserve">; </w:t>
      </w:r>
      <w:proofErr w:type="spellStart"/>
      <w:r w:rsidR="00AE1A93" w:rsidRPr="00E45E37">
        <w:t>Roos</w:t>
      </w:r>
      <w:proofErr w:type="spellEnd"/>
      <w:r w:rsidR="00AE1A93" w:rsidRPr="00E45E37">
        <w:t>, 2010</w:t>
      </w:r>
      <w:r w:rsidRPr="00E45E37">
        <w:t>).</w:t>
      </w:r>
      <w:r w:rsidR="00AE1A93" w:rsidRPr="00E45E37">
        <w:t xml:space="preserve"> However, the disease can occur much earlier in life as evidenced by the sub-category of the disease referred to as Juvenile Huntington’s disease. In this sub-category, the symptoms of the disease appear before the age of 20 years with characteristic behavioral and learning difficulties at school (</w:t>
      </w:r>
      <w:proofErr w:type="spellStart"/>
      <w:r w:rsidR="00AE1A93" w:rsidRPr="00E45E37">
        <w:t>Roos</w:t>
      </w:r>
      <w:proofErr w:type="spellEnd"/>
      <w:r w:rsidR="00AE1A93" w:rsidRPr="00E45E37">
        <w:t xml:space="preserve">, 2010). </w:t>
      </w:r>
      <w:r w:rsidR="007328C7" w:rsidRPr="00E45E37">
        <w:t>The onset of the disease is positively correlated with the number of CAG repeats that are produced by the mutation so that the longer the CAG repeats, the earlier the onset of the disease (</w:t>
      </w:r>
      <w:proofErr w:type="spellStart"/>
      <w:r w:rsidR="007328C7" w:rsidRPr="00E45E37">
        <w:t>Roos</w:t>
      </w:r>
      <w:proofErr w:type="spellEnd"/>
      <w:r w:rsidR="007328C7" w:rsidRPr="00E45E37">
        <w:t>, 2010). This correlation is as can be demonstrated by the early age of onset of the symptoms of the disease in Juvenile HD given the CAG repeats in these patients which often exceed 55 (</w:t>
      </w:r>
      <w:proofErr w:type="spellStart"/>
      <w:r w:rsidR="007328C7" w:rsidRPr="00E45E37">
        <w:t>Roos</w:t>
      </w:r>
      <w:proofErr w:type="spellEnd"/>
      <w:r w:rsidR="007328C7" w:rsidRPr="00E45E37">
        <w:t>, 2010).</w:t>
      </w:r>
    </w:p>
    <w:p w:rsidR="0066484E" w:rsidRPr="00E45E37" w:rsidRDefault="00AE1A93" w:rsidP="00BA730E">
      <w:pPr>
        <w:spacing w:line="480" w:lineRule="auto"/>
        <w:ind w:firstLine="720"/>
      </w:pPr>
      <w:r w:rsidRPr="00E45E37">
        <w:lastRenderedPageBreak/>
        <w:t xml:space="preserve">The disease is characterized by unwanted </w:t>
      </w:r>
      <w:proofErr w:type="spellStart"/>
      <w:r w:rsidRPr="00E45E37">
        <w:t>choreatic</w:t>
      </w:r>
      <w:proofErr w:type="spellEnd"/>
      <w:r w:rsidRPr="00E45E37">
        <w:t xml:space="preserve"> movements, behavioral and psychiatric disturbances, and dementia (</w:t>
      </w:r>
      <w:proofErr w:type="spellStart"/>
      <w:r w:rsidRPr="00E45E37">
        <w:t>Roos</w:t>
      </w:r>
      <w:proofErr w:type="spellEnd"/>
      <w:r w:rsidRPr="00E45E37">
        <w:t>, 2010) which all produce a wide spectrum of signs and symptoms. The order of appearance of these symptoms varies greatly from one person to the next with some of the symptoms depicting dominance or greater effects on the functional abilities of the patient with subsequent changes throughout the course of the disease (</w:t>
      </w:r>
      <w:proofErr w:type="spellStart"/>
      <w:r w:rsidR="00616710" w:rsidRPr="00E45E37">
        <w:t>Dayalu</w:t>
      </w:r>
      <w:proofErr w:type="spellEnd"/>
      <w:r w:rsidR="00616710" w:rsidRPr="00E45E37">
        <w:t xml:space="preserve"> &amp; </w:t>
      </w:r>
      <w:proofErr w:type="spellStart"/>
      <w:r w:rsidR="00616710" w:rsidRPr="00E45E37">
        <w:t>Albin</w:t>
      </w:r>
      <w:proofErr w:type="spellEnd"/>
      <w:r w:rsidR="00616710" w:rsidRPr="00E45E37">
        <w:t>, 2015</w:t>
      </w:r>
      <w:r w:rsidRPr="00E45E37">
        <w:t>). The classic sign of the disease, however, is chorea</w:t>
      </w:r>
      <w:r w:rsidR="004D7896" w:rsidRPr="00E45E37">
        <w:t xml:space="preserve"> (involuntary jerking or writhing movements)</w:t>
      </w:r>
      <w:r w:rsidRPr="00E45E37">
        <w:t xml:space="preserve"> that gradually spreads to all muscles (</w:t>
      </w:r>
      <w:proofErr w:type="spellStart"/>
      <w:r w:rsidRPr="00E45E37">
        <w:t>Roos</w:t>
      </w:r>
      <w:proofErr w:type="spellEnd"/>
      <w:r w:rsidRPr="00E45E37">
        <w:t>, 2010).</w:t>
      </w:r>
      <w:r w:rsidR="004D7896" w:rsidRPr="00E45E37">
        <w:t xml:space="preserve"> More on each symptom, the disease causes impairment of both the involuntary and voluntary movements with the characteristics signs and symptoms including chorea, muscle problems, such as rigidity or muscle contracture (dystonia), slow or abnormal eye movements, impaired gait, posture, and balance, and lastly, difficulty with speech or swallowing.  Impairment of the voluntary movements produces the greatest impacts on the functional abilities of the affected individual as they produce the characteristic difficulties that pose challenges to the patient’s ability to perform daily activities, communicate, and remain independent. </w:t>
      </w:r>
    </w:p>
    <w:p w:rsidR="00C22B88" w:rsidRPr="00E45E37" w:rsidRDefault="004D7896" w:rsidP="00BA730E">
      <w:pPr>
        <w:spacing w:line="480" w:lineRule="auto"/>
        <w:ind w:firstLine="720"/>
      </w:pPr>
      <w:r w:rsidRPr="00E45E37">
        <w:t xml:space="preserve">Among the signs and symptoms of cognitive impairments produced by the disease are difficulty organizing, prioritizing, or focusing on tasks, lack of flexibility or the tendency to get stuck on a thought, behavior or action (perseveration), lack of impulse control which leads to outburst, acting without thinking, and sexual promiscuity, lack of awareness of one’s own behaviors and abilities, slowness in processing thoughts or “finding” words, and lastly, difficulty in learning new information (Mayo Clinic, 2020). Lastly, among the definitive signs and symptoms of  the psychiatric disorders produced by the disease are feelings of irritability, sadness or apathy, social withdrawal, insomnia, fatigue, lethargy, frequent thoughts of death, dying, or suicide, in addition to, in the extreme of cases, obsessive-compulsive </w:t>
      </w:r>
      <w:r w:rsidR="00223A33" w:rsidRPr="00E45E37">
        <w:t xml:space="preserve">disorder, mania, </w:t>
      </w:r>
      <w:r w:rsidR="00223A33" w:rsidRPr="00E45E37">
        <w:lastRenderedPageBreak/>
        <w:t>and bipolar disorder (Mayo Clinic, 2020).</w:t>
      </w:r>
      <w:r w:rsidR="007328C7" w:rsidRPr="00E45E37">
        <w:t xml:space="preserve"> As pertaining the general signs and symptoms of disease, weight loss is common among patients with a progressive HD (Mayo Clinic, 2020). </w:t>
      </w:r>
    </w:p>
    <w:p w:rsidR="007328C7" w:rsidRPr="000A1C11" w:rsidRDefault="007328C7" w:rsidP="00FD0B27">
      <w:pPr>
        <w:spacing w:line="480" w:lineRule="auto"/>
        <w:jc w:val="center"/>
        <w:rPr>
          <w:b/>
        </w:rPr>
      </w:pPr>
      <w:r w:rsidRPr="000A1C11">
        <w:rPr>
          <w:b/>
        </w:rPr>
        <w:t>Brief History</w:t>
      </w:r>
    </w:p>
    <w:p w:rsidR="007328C7" w:rsidRPr="00E45E37" w:rsidRDefault="007328C7" w:rsidP="00BA730E">
      <w:pPr>
        <w:spacing w:line="480" w:lineRule="auto"/>
        <w:ind w:firstLine="720"/>
      </w:pPr>
      <w:r w:rsidRPr="00E45E37">
        <w:t>Huntington’s disease (HD)</w:t>
      </w:r>
      <w:r w:rsidR="00E83DA1" w:rsidRPr="00E45E37">
        <w:t xml:space="preserve"> is named after an</w:t>
      </w:r>
      <w:r w:rsidR="00AE3DDA" w:rsidRPr="00E45E37">
        <w:t xml:space="preserve"> </w:t>
      </w:r>
      <w:r w:rsidR="00D26F13" w:rsidRPr="00E45E37">
        <w:t xml:space="preserve">American </w:t>
      </w:r>
      <w:r w:rsidR="00AE3DDA" w:rsidRPr="00E45E37">
        <w:t xml:space="preserve">Scientist </w:t>
      </w:r>
      <w:r w:rsidRPr="00E45E37">
        <w:rPr>
          <w:i/>
        </w:rPr>
        <w:t>George Hun</w:t>
      </w:r>
      <w:r w:rsidR="00AE3DDA" w:rsidRPr="00E45E37">
        <w:rPr>
          <w:i/>
        </w:rPr>
        <w:t>tington</w:t>
      </w:r>
      <w:r w:rsidR="00AE3DDA" w:rsidRPr="00E45E37">
        <w:t>, who first described it in 1872 in Long Island. The discovery was made among residents of East Hampton, Long Island</w:t>
      </w:r>
      <w:r w:rsidR="00E83DA1" w:rsidRPr="00E45E37">
        <w:t xml:space="preserve"> in the form of an account of hereditary chorea</w:t>
      </w:r>
      <w:r w:rsidR="00AE3DDA" w:rsidRPr="00E45E37">
        <w:t xml:space="preserve"> (</w:t>
      </w:r>
      <w:r w:rsidR="00D26F13" w:rsidRPr="00E45E37">
        <w:t>John Hopkins Medicine, 2020</w:t>
      </w:r>
      <w:r w:rsidR="00AE3DDA" w:rsidRPr="00E45E37">
        <w:t xml:space="preserve">). </w:t>
      </w:r>
      <w:r w:rsidR="004A0DDC" w:rsidRPr="00E45E37">
        <w:t>He described the disease in his writing entitled “</w:t>
      </w:r>
      <w:r w:rsidR="004A0DDC" w:rsidRPr="00E45E37">
        <w:rPr>
          <w:i/>
        </w:rPr>
        <w:t>On Chorea</w:t>
      </w:r>
      <w:r w:rsidR="004A0DDC" w:rsidRPr="00E45E37">
        <w:t xml:space="preserve">”, which he presented on February 15, 1872 before </w:t>
      </w:r>
      <w:proofErr w:type="spellStart"/>
      <w:r w:rsidR="004A0DDC" w:rsidRPr="00E45E37">
        <w:t>Meigs</w:t>
      </w:r>
      <w:proofErr w:type="spellEnd"/>
      <w:r w:rsidR="004A0DDC" w:rsidRPr="00E45E37">
        <w:t xml:space="preserve"> and Mason A</w:t>
      </w:r>
      <w:r w:rsidR="00E6286E" w:rsidRPr="00E45E37">
        <w:t>cademy</w:t>
      </w:r>
      <w:r w:rsidR="004A0DDC" w:rsidRPr="00E45E37">
        <w:t xml:space="preserve"> of Medicine at Middleport, Ohio, USA (</w:t>
      </w:r>
      <w:r w:rsidR="00E6286E" w:rsidRPr="00E45E37">
        <w:t>Bhattacharyya, 2016</w:t>
      </w:r>
      <w:r w:rsidR="004A0DDC" w:rsidRPr="00E45E37">
        <w:t xml:space="preserve">). </w:t>
      </w:r>
      <w:r w:rsidR="00E83DA1" w:rsidRPr="00E45E37">
        <w:t>In this piece of publication he described the disease’s hereditary nature, its associated psychiatric and cognitive symptoms, and the manifestations of the disease in adult life between 30 and 40 years of age (</w:t>
      </w:r>
      <w:r w:rsidR="00616710" w:rsidRPr="00E45E37">
        <w:t>Bhattacharyya, 2016</w:t>
      </w:r>
      <w:r w:rsidR="00E83DA1" w:rsidRPr="00E45E37">
        <w:t>). “</w:t>
      </w:r>
      <w:r w:rsidR="00E83DA1" w:rsidRPr="00E45E37">
        <w:rPr>
          <w:i/>
        </w:rPr>
        <w:t>He outlined the progressive nature of the disease stating, ‘Once it begins it clings to the bitter end’</w:t>
      </w:r>
      <w:r w:rsidR="00E83DA1" w:rsidRPr="00E45E37">
        <w:t xml:space="preserve"> (</w:t>
      </w:r>
      <w:r w:rsidR="00616710" w:rsidRPr="00E45E37">
        <w:t>Bhattacharyya, 2016</w:t>
      </w:r>
      <w:r w:rsidR="00E83DA1" w:rsidRPr="00E45E37">
        <w:t xml:space="preserve">). </w:t>
      </w:r>
      <w:r w:rsidR="004A0DDC" w:rsidRPr="00E45E37">
        <w:t>His descriptions of the disease appeared in the “</w:t>
      </w:r>
      <w:r w:rsidR="004A0DDC" w:rsidRPr="00E45E37">
        <w:rPr>
          <w:i/>
        </w:rPr>
        <w:t>Medical and Surgical Reporter</w:t>
      </w:r>
      <w:r w:rsidR="004A0DDC" w:rsidRPr="00E45E37">
        <w:t>” of Philadelphia, Pennsylvania, USA on April 13, 1872 (</w:t>
      </w:r>
      <w:r w:rsidR="00E6286E" w:rsidRPr="00E45E37">
        <w:t>Bhattacharyya, 2016</w:t>
      </w:r>
      <w:r w:rsidR="004A0DDC" w:rsidRPr="00E45E37">
        <w:t xml:space="preserve">). He reported the disease as cases of dementia and chorea </w:t>
      </w:r>
      <w:r w:rsidR="00E83DA1" w:rsidRPr="00E45E37">
        <w:t>in</w:t>
      </w:r>
      <w:r w:rsidR="004A0DDC" w:rsidRPr="00E45E37">
        <w:t xml:space="preserve"> middle-aged persons, which ran in families, conforming to the autosomal dominant mode of inheritance of the disease (</w:t>
      </w:r>
      <w:r w:rsidR="00E6286E" w:rsidRPr="00E45E37">
        <w:t>Bhattacharyya, 2016</w:t>
      </w:r>
      <w:r w:rsidR="004A0DDC" w:rsidRPr="00E45E37">
        <w:t xml:space="preserve">). </w:t>
      </w:r>
      <w:r w:rsidR="004A0DDC" w:rsidRPr="00E45E37">
        <w:rPr>
          <w:i/>
        </w:rPr>
        <w:t>George Huntington</w:t>
      </w:r>
      <w:r w:rsidR="004A0DDC" w:rsidRPr="00E45E37">
        <w:t xml:space="preserve"> was born into a family of general practitioners in East Hampton, New York, USA, and following a careful examination of his father’s and grandfather’s work in the past, he reported  series of similar cases examined from their notes (</w:t>
      </w:r>
      <w:r w:rsidR="00E6286E" w:rsidRPr="00E45E37">
        <w:t>Bhattacharyya, 2016</w:t>
      </w:r>
      <w:r w:rsidR="004A0DDC" w:rsidRPr="00E45E37">
        <w:t xml:space="preserve">). The families that </w:t>
      </w:r>
      <w:r w:rsidR="00E83DA1" w:rsidRPr="00E45E37">
        <w:t>he studied</w:t>
      </w:r>
      <w:r w:rsidR="004A0DDC" w:rsidRPr="00E45E37">
        <w:t xml:space="preserve"> are said to have shared a common ancestor, one </w:t>
      </w:r>
      <w:r w:rsidR="004A0DDC" w:rsidRPr="00E45E37">
        <w:rPr>
          <w:i/>
        </w:rPr>
        <w:t>Jeffrey Francis</w:t>
      </w:r>
      <w:r w:rsidR="004A0DDC" w:rsidRPr="00E45E37">
        <w:t>, who emigrated from England in 1634, carrying the gene with him (</w:t>
      </w:r>
      <w:r w:rsidR="00E6286E" w:rsidRPr="00E45E37">
        <w:t>Bhattacharyya, 2016</w:t>
      </w:r>
      <w:r w:rsidR="004A0DDC" w:rsidRPr="00E45E37">
        <w:t>).</w:t>
      </w:r>
      <w:r w:rsidR="00565150" w:rsidRPr="00E45E37">
        <w:t xml:space="preserve"> In 1958, </w:t>
      </w:r>
      <w:proofErr w:type="spellStart"/>
      <w:r w:rsidR="00565150" w:rsidRPr="00E45E37">
        <w:rPr>
          <w:i/>
        </w:rPr>
        <w:t>Americo</w:t>
      </w:r>
      <w:proofErr w:type="spellEnd"/>
      <w:r w:rsidR="00565150" w:rsidRPr="00E45E37">
        <w:rPr>
          <w:i/>
        </w:rPr>
        <w:t xml:space="preserve"> </w:t>
      </w:r>
      <w:proofErr w:type="spellStart"/>
      <w:r w:rsidR="00565150" w:rsidRPr="00E45E37">
        <w:rPr>
          <w:i/>
        </w:rPr>
        <w:t>Negrette</w:t>
      </w:r>
      <w:proofErr w:type="spellEnd"/>
      <w:r w:rsidR="00565150" w:rsidRPr="00E45E37">
        <w:t xml:space="preserve">, a young Venezuelan physician observed similar subjects in the vicinity of Lake Maracaibo with symptoms similar to those that had been presented by his co-worker, </w:t>
      </w:r>
      <w:r w:rsidR="00565150" w:rsidRPr="00E45E37">
        <w:rPr>
          <w:i/>
        </w:rPr>
        <w:t xml:space="preserve">Ramon Avilla </w:t>
      </w:r>
      <w:proofErr w:type="spellStart"/>
      <w:r w:rsidR="00565150" w:rsidRPr="00E45E37">
        <w:rPr>
          <w:i/>
        </w:rPr>
        <w:t>Giron</w:t>
      </w:r>
      <w:proofErr w:type="spellEnd"/>
      <w:r w:rsidR="00565150" w:rsidRPr="00E45E37">
        <w:t xml:space="preserve">. In </w:t>
      </w:r>
      <w:r w:rsidR="00565150" w:rsidRPr="00E45E37">
        <w:lastRenderedPageBreak/>
        <w:t xml:space="preserve">1972, </w:t>
      </w:r>
      <w:r w:rsidR="00565150" w:rsidRPr="00E45E37">
        <w:rPr>
          <w:i/>
        </w:rPr>
        <w:t>Nancy Wexler</w:t>
      </w:r>
      <w:r w:rsidR="00E6286E" w:rsidRPr="00E45E37">
        <w:t>, a psychoanalyst</w:t>
      </w:r>
      <w:r w:rsidR="00565150" w:rsidRPr="00E45E37">
        <w:t xml:space="preserve"> who had attended the meeting on the disease during the commemoration of the centenary year of HD at New York, and whose mother had been suffering from the disease, organized a research team to Venezuela. The team of collaborative researchers studied more than 18,000 individuals in order to work out a common pedigree (</w:t>
      </w:r>
      <w:r w:rsidR="00E6286E" w:rsidRPr="00E45E37">
        <w:t>Bhattacharyya, 2016</w:t>
      </w:r>
      <w:r w:rsidR="00565150" w:rsidRPr="00E45E37">
        <w:t xml:space="preserve">). It was not until </w:t>
      </w:r>
      <w:r w:rsidR="00AE3DDA" w:rsidRPr="00E45E37">
        <w:t xml:space="preserve">1993 that </w:t>
      </w:r>
      <w:r w:rsidR="00565150" w:rsidRPr="00E45E37">
        <w:t>they discovered the</w:t>
      </w:r>
      <w:r w:rsidR="00AE3DDA" w:rsidRPr="00E45E37">
        <w:t xml:space="preserve"> gene that c</w:t>
      </w:r>
      <w:r w:rsidR="00565150" w:rsidRPr="00E45E37">
        <w:t>auses HD</w:t>
      </w:r>
      <w:r w:rsidR="00AE3DDA" w:rsidRPr="00E45E37">
        <w:t xml:space="preserve">. </w:t>
      </w:r>
      <w:r w:rsidR="00565150" w:rsidRPr="00E45E37">
        <w:t>I</w:t>
      </w:r>
      <w:r w:rsidR="00AE3DDA" w:rsidRPr="00E45E37">
        <w:t>t is this discovery that made it possible to diagnose HD with blood and tissue samples (</w:t>
      </w:r>
      <w:r w:rsidR="00D26F13" w:rsidRPr="00E45E37">
        <w:t>John Hopkins Medicine, 2020</w:t>
      </w:r>
      <w:r w:rsidR="00AE3DDA" w:rsidRPr="00E45E37">
        <w:t xml:space="preserve">). </w:t>
      </w:r>
    </w:p>
    <w:p w:rsidR="00E83DA1" w:rsidRPr="000A1C11" w:rsidRDefault="00E83DA1" w:rsidP="00FD0B27">
      <w:pPr>
        <w:spacing w:line="480" w:lineRule="auto"/>
        <w:jc w:val="center"/>
        <w:rPr>
          <w:b/>
        </w:rPr>
      </w:pPr>
      <w:r w:rsidRPr="000A1C11">
        <w:rPr>
          <w:b/>
        </w:rPr>
        <w:t>Treatment</w:t>
      </w:r>
    </w:p>
    <w:p w:rsidR="00616710" w:rsidRPr="00E45E37" w:rsidRDefault="00EF3CA5" w:rsidP="00BA730E">
      <w:pPr>
        <w:spacing w:line="480" w:lineRule="auto"/>
        <w:ind w:firstLine="720"/>
      </w:pPr>
      <w:r w:rsidRPr="00E45E37">
        <w:t>The management of the disease necessitates the employment of a multidisciplinary approach given the vast array of functions that are impaired due to the neuronal deaths that occur in the pathogenesis of the disease. The aim in the management of the disease is to optimize the patient’s quality of life in addition to pre-empting the changing needs that the patient will require as the disease progresses (</w:t>
      </w:r>
      <w:proofErr w:type="spellStart"/>
      <w:r w:rsidR="00BC453B" w:rsidRPr="00E45E37">
        <w:t>McColgan</w:t>
      </w:r>
      <w:proofErr w:type="spellEnd"/>
      <w:r w:rsidR="00BC453B" w:rsidRPr="00E45E37">
        <w:t xml:space="preserve"> &amp; </w:t>
      </w:r>
      <w:proofErr w:type="spellStart"/>
      <w:r w:rsidR="00BC453B" w:rsidRPr="00E45E37">
        <w:t>Tabrizi</w:t>
      </w:r>
      <w:proofErr w:type="spellEnd"/>
      <w:r w:rsidR="00BC453B" w:rsidRPr="00E45E37">
        <w:t>, 2017</w:t>
      </w:r>
      <w:r w:rsidRPr="00E45E37">
        <w:t>). To achieve these objectives, the management of the disease usually involves a combination of pharmacological and non-pharmacological interventions. As pertaining to the pharmacologic treatment of the disease, t</w:t>
      </w:r>
      <w:r w:rsidR="00E83DA1" w:rsidRPr="00E45E37">
        <w:t>he characteristics of the disease, namely, its monogenic nature and full penetrance, has rendered it perhaps one of the most treatable neurodegenerative diseases (</w:t>
      </w:r>
      <w:proofErr w:type="spellStart"/>
      <w:r w:rsidR="00BC453B" w:rsidRPr="00E45E37">
        <w:t>McColgan</w:t>
      </w:r>
      <w:proofErr w:type="spellEnd"/>
      <w:r w:rsidR="00BC453B" w:rsidRPr="00E45E37">
        <w:t xml:space="preserve"> &amp; </w:t>
      </w:r>
      <w:proofErr w:type="spellStart"/>
      <w:r w:rsidR="00BC453B" w:rsidRPr="00E45E37">
        <w:t>Tabrizi</w:t>
      </w:r>
      <w:proofErr w:type="spellEnd"/>
      <w:r w:rsidR="00BC453B" w:rsidRPr="00E45E37">
        <w:t>, 2017</w:t>
      </w:r>
      <w:r w:rsidR="00E83DA1" w:rsidRPr="00E45E37">
        <w:t>). This new insight into the management of the disease ha</w:t>
      </w:r>
      <w:r w:rsidR="00BC453B" w:rsidRPr="00E45E37">
        <w:t xml:space="preserve">s been made manifest following </w:t>
      </w:r>
      <w:r w:rsidR="00E83DA1" w:rsidRPr="00E45E37">
        <w:t xml:space="preserve">the advent of new therapeutic approaches in the last decade which can now directly target the Huntingtin gene thus preventing the production of </w:t>
      </w:r>
      <w:r w:rsidR="00D26BAE" w:rsidRPr="00E45E37">
        <w:t>t</w:t>
      </w:r>
      <w:r w:rsidR="00E83DA1" w:rsidRPr="00E45E37">
        <w:t>he toxic mutant huntingtin protein (</w:t>
      </w:r>
      <w:proofErr w:type="spellStart"/>
      <w:r w:rsidR="000442FB" w:rsidRPr="00E45E37">
        <w:t>McColgan</w:t>
      </w:r>
      <w:proofErr w:type="spellEnd"/>
      <w:r w:rsidR="000442FB" w:rsidRPr="00E45E37">
        <w:t xml:space="preserve"> &amp; </w:t>
      </w:r>
      <w:proofErr w:type="spellStart"/>
      <w:r w:rsidR="000442FB" w:rsidRPr="00E45E37">
        <w:t>Tabrizi</w:t>
      </w:r>
      <w:proofErr w:type="spellEnd"/>
      <w:r w:rsidR="000442FB" w:rsidRPr="00E45E37">
        <w:t>, 2017</w:t>
      </w:r>
      <w:r w:rsidR="00E83DA1" w:rsidRPr="00E45E37">
        <w:t>).</w:t>
      </w:r>
      <w:r w:rsidRPr="00E45E37">
        <w:t xml:space="preserve"> However, there is currently lack of evidence base for pharmacologic treatment of the disease leaving therapy choices and decisions being based on expert opinion and clinical </w:t>
      </w:r>
      <w:r w:rsidR="00A32854" w:rsidRPr="00E45E37">
        <w:t>experience. Pharmacologic</w:t>
      </w:r>
      <w:r w:rsidRPr="00E45E37">
        <w:t xml:space="preserve"> management of the disease is symptomatic with </w:t>
      </w:r>
      <w:proofErr w:type="spellStart"/>
      <w:r w:rsidRPr="00E45E37">
        <w:t>tetrabenazine</w:t>
      </w:r>
      <w:proofErr w:type="spellEnd"/>
      <w:r w:rsidRPr="00E45E37">
        <w:t xml:space="preserve"> being the drug that is specifically licensed to treat chorea. The drug is a synaptic vesicular amine </w:t>
      </w:r>
      <w:r w:rsidRPr="00E45E37">
        <w:lastRenderedPageBreak/>
        <w:t xml:space="preserve">transport </w:t>
      </w:r>
      <w:r w:rsidR="00A32854" w:rsidRPr="00E45E37">
        <w:t>inhibitor</w:t>
      </w:r>
      <w:r w:rsidRPr="00E45E37">
        <w:t xml:space="preserve"> that provides a sustained anti-</w:t>
      </w:r>
      <w:proofErr w:type="spellStart"/>
      <w:r w:rsidRPr="00E45E37">
        <w:t>choreic</w:t>
      </w:r>
      <w:proofErr w:type="spellEnd"/>
      <w:r w:rsidRPr="00E45E37">
        <w:t xml:space="preserve"> effect at doses leve</w:t>
      </w:r>
      <w:r w:rsidR="00616710" w:rsidRPr="00E45E37">
        <w:t>ls r</w:t>
      </w:r>
      <w:r w:rsidRPr="00E45E37">
        <w:t>a</w:t>
      </w:r>
      <w:r w:rsidR="00616710" w:rsidRPr="00E45E37">
        <w:t>n</w:t>
      </w:r>
      <w:r w:rsidRPr="00E45E37">
        <w:t>ging from 50-75 milligrams per day</w:t>
      </w:r>
      <w:r w:rsidR="00322688" w:rsidRPr="00E45E37">
        <w:t xml:space="preserve">. The drug’s side effects include sleep disturbances, depression, anxiety, and restlessness. In addition to </w:t>
      </w:r>
      <w:proofErr w:type="spellStart"/>
      <w:r w:rsidR="00322688" w:rsidRPr="00E45E37">
        <w:t>tetrabenazine</w:t>
      </w:r>
      <w:proofErr w:type="spellEnd"/>
      <w:r w:rsidR="00322688" w:rsidRPr="00E45E37">
        <w:t xml:space="preserve"> there are drugs such as </w:t>
      </w:r>
      <w:proofErr w:type="spellStart"/>
      <w:r w:rsidR="00322688" w:rsidRPr="00E45E37">
        <w:t>deutetrabenazine</w:t>
      </w:r>
      <w:proofErr w:type="spellEnd"/>
      <w:r w:rsidR="00322688" w:rsidRPr="00E45E37">
        <w:t xml:space="preserve">, a modified version of </w:t>
      </w:r>
      <w:proofErr w:type="spellStart"/>
      <w:r w:rsidR="00322688" w:rsidRPr="00E45E37">
        <w:t>tetrabenazine</w:t>
      </w:r>
      <w:proofErr w:type="spellEnd"/>
      <w:r w:rsidR="00322688" w:rsidRPr="00E45E37">
        <w:t xml:space="preserve"> that contains deuterium molecule, and </w:t>
      </w:r>
      <w:proofErr w:type="spellStart"/>
      <w:r w:rsidR="00322688" w:rsidRPr="00E45E37">
        <w:t>sulpiride</w:t>
      </w:r>
      <w:proofErr w:type="spellEnd"/>
      <w:r w:rsidR="00322688" w:rsidRPr="00E45E37">
        <w:t xml:space="preserve">, a neuroleptic, that has shown efficacy in treating chorea, which are also used in place of </w:t>
      </w:r>
      <w:proofErr w:type="spellStart"/>
      <w:r w:rsidR="00322688" w:rsidRPr="00E45E37">
        <w:t>tetrabenazine</w:t>
      </w:r>
      <w:proofErr w:type="spellEnd"/>
      <w:r w:rsidR="00322688" w:rsidRPr="00E45E37">
        <w:t xml:space="preserve">. </w:t>
      </w:r>
    </w:p>
    <w:p w:rsidR="00E83DA1" w:rsidRPr="00E45E37" w:rsidRDefault="00322688" w:rsidP="00BA730E">
      <w:pPr>
        <w:spacing w:line="480" w:lineRule="auto"/>
        <w:ind w:firstLine="720"/>
      </w:pPr>
      <w:r w:rsidRPr="00E45E37">
        <w:t>There is little evidence of the management of the psychiatric symptoms in HD with the decisions for their pharmacologic management being made on clinical consensus and expert opinion. In cases where they are required, there is the use of antidepressants notably selective serotonin uptake inhibitors such as citalopram, fluoxetine, and paroxetine, and the serotonin-Noradrenergic reuptake inhibitors such as mirtazapine and venlafaxine. For patients demonstrating aggression and psychosis, neuroleptics are employed</w:t>
      </w:r>
      <w:r w:rsidR="00616710" w:rsidRPr="00E45E37">
        <w:t xml:space="preserve">, with the use of </w:t>
      </w:r>
      <w:r w:rsidRPr="00E45E37">
        <w:t xml:space="preserve">medications such as methylphenidate, atomoxetine, </w:t>
      </w:r>
      <w:proofErr w:type="spellStart"/>
      <w:r w:rsidRPr="00E45E37">
        <w:t>modafinil</w:t>
      </w:r>
      <w:proofErr w:type="spellEnd"/>
      <w:r w:rsidRPr="00E45E37">
        <w:t>, amantadine, and bupropion to treat apathy. Non-pharmacological interventions such as cognitive behavioral therapy or psychodynamic therapy have received some application in the management of the psychiatric symptoms produced by HD especially for cases with depression, anxiety, obsessive compulsive disorder, and irritability (</w:t>
      </w:r>
      <w:proofErr w:type="spellStart"/>
      <w:r w:rsidR="00616710" w:rsidRPr="00E45E37">
        <w:t>McColgan</w:t>
      </w:r>
      <w:proofErr w:type="spellEnd"/>
      <w:r w:rsidR="00616710" w:rsidRPr="00E45E37">
        <w:t xml:space="preserve"> &amp; </w:t>
      </w:r>
      <w:proofErr w:type="spellStart"/>
      <w:r w:rsidR="00616710" w:rsidRPr="00E45E37">
        <w:t>Tabrizi</w:t>
      </w:r>
      <w:proofErr w:type="spellEnd"/>
      <w:r w:rsidR="00616710" w:rsidRPr="00E45E37">
        <w:t>, 2017</w:t>
      </w:r>
      <w:r w:rsidRPr="00E45E37">
        <w:t xml:space="preserve">). </w:t>
      </w:r>
      <w:r w:rsidR="006E1DF5" w:rsidRPr="00E45E37">
        <w:t xml:space="preserve">With regards to the management of the cognitive impairment produced this disease, there are numerous research underway given the inconclusive nature of the previous studies to come up with a definitive management strategy or regimen for the improvement of these class of symptoms. </w:t>
      </w:r>
    </w:p>
    <w:p w:rsidR="006E1DF5" w:rsidRPr="000A1C11" w:rsidRDefault="006E1DF5" w:rsidP="00FD0B27">
      <w:pPr>
        <w:spacing w:line="480" w:lineRule="auto"/>
        <w:jc w:val="center"/>
        <w:rPr>
          <w:b/>
        </w:rPr>
      </w:pPr>
      <w:r w:rsidRPr="000A1C11">
        <w:rPr>
          <w:b/>
        </w:rPr>
        <w:t>Barriers to Treatment and Overcoming those Barriers</w:t>
      </w:r>
    </w:p>
    <w:p w:rsidR="006E1DF5" w:rsidRPr="00E45E37" w:rsidRDefault="006E1DF5" w:rsidP="00BA730E">
      <w:pPr>
        <w:spacing w:line="480" w:lineRule="auto"/>
        <w:ind w:firstLine="720"/>
      </w:pPr>
      <w:r w:rsidRPr="00E45E37">
        <w:t xml:space="preserve">As indicated above, the biggest gap in the management of the disease is the lack of evidence base guidelines for both pharmacologic and non-pharmacologic management of the </w:t>
      </w:r>
      <w:r w:rsidRPr="00E45E37">
        <w:lastRenderedPageBreak/>
        <w:t xml:space="preserve">disease. This is more so true for the management of the cognitive functions for which there is currently lack of research evidence to support the </w:t>
      </w:r>
      <w:r w:rsidR="00886556" w:rsidRPr="00E45E37">
        <w:t>choice of and the best possible treatment regimen for these symptoms. The unavailability of such guidelines makes it very hard to effectively manage the condition. In overcoming this barrier to the management of the disease, the concerned governmental organization should endeavor to fund more research into the definitive treatment regimen and combinations that can effectively manage this disease. In addition, they could partner up with many other organizations in this search for a cure or at least the most efficacious and safe drug that could effectively address this problem. Secondly, it is the issue with the availability of the management services. Of concern here is the availability of predictive testing (PT) for the disease which requires several in-patient appointments (</w:t>
      </w:r>
      <w:r w:rsidR="00016AC0" w:rsidRPr="00E45E37">
        <w:t>Hawkins, Creighton, &amp; Hayden, 2013</w:t>
      </w:r>
      <w:r w:rsidR="00886556" w:rsidRPr="00E45E37">
        <w:t xml:space="preserve">). The two main factors contributing to this barrier are the distance between the patients and the health facilities offering this and other Huntington’s disease-related services, the costs of these services, and the flexibility of the </w:t>
      </w:r>
      <w:r w:rsidR="00370474" w:rsidRPr="00E45E37">
        <w:t>testing process which refers to the emotional and psychological accessibility of PT (</w:t>
      </w:r>
      <w:r w:rsidR="00016AC0" w:rsidRPr="00E45E37">
        <w:t>Hawkins, Creighton, &amp; Hayden, 2013</w:t>
      </w:r>
      <w:r w:rsidR="00370474" w:rsidRPr="00E45E37">
        <w:t>). These barriers prevent the early detection of the disease and the quality of care that patients with this disease receive. In overcoming this barrier, it is the role of the federal government to invest more in health infrastructure and especially in the rural areas of the country</w:t>
      </w:r>
      <w:r w:rsidR="00016AC0" w:rsidRPr="00E45E37">
        <w:t xml:space="preserve">. They could also consider increasing the government subsidies that are offered towards achieving the affordability of basic health care for all so that at least the less fortunate could have access to quality health care. </w:t>
      </w:r>
    </w:p>
    <w:p w:rsidR="00016AC0" w:rsidRPr="000A1C11" w:rsidRDefault="00016AC0" w:rsidP="00FD0B27">
      <w:pPr>
        <w:spacing w:line="480" w:lineRule="auto"/>
        <w:jc w:val="center"/>
        <w:rPr>
          <w:b/>
        </w:rPr>
      </w:pPr>
      <w:r w:rsidRPr="000A1C11">
        <w:rPr>
          <w:b/>
        </w:rPr>
        <w:t>Occupational, Societal, Discrimination Issues</w:t>
      </w:r>
    </w:p>
    <w:p w:rsidR="000A1C11" w:rsidRDefault="00016AC0" w:rsidP="00BA730E">
      <w:pPr>
        <w:spacing w:line="480" w:lineRule="auto"/>
        <w:ind w:firstLine="720"/>
      </w:pPr>
      <w:r w:rsidRPr="00E45E37">
        <w:t>As has already been established, Huntington’s disease severely impairs</w:t>
      </w:r>
      <w:r w:rsidR="00901E44" w:rsidRPr="00E45E37">
        <w:t xml:space="preserve"> the functional abilities of the patient as is characterized by its ability to affect the patient’s ability to carry out daily activities. This implies that HD affects various occupational components of a patient’s life </w:t>
      </w:r>
      <w:r w:rsidR="00901E44" w:rsidRPr="00E45E37">
        <w:lastRenderedPageBreak/>
        <w:t xml:space="preserve">hence increasing their dependency on supportive care from their loved ones. This increases the </w:t>
      </w:r>
      <w:r w:rsidR="004C3935" w:rsidRPr="00E45E37">
        <w:t>need occupational therapy since</w:t>
      </w:r>
      <w:r w:rsidR="00901E44" w:rsidRPr="00E45E37">
        <w:t xml:space="preserve"> it is capable of providing a client-centered service for progressive care and modifications for the individuals who have been affected (</w:t>
      </w:r>
      <w:r w:rsidR="004C3935" w:rsidRPr="00E45E37">
        <w:t>Jones &amp; Thompson, 2015</w:t>
      </w:r>
      <w:r w:rsidR="00901E44" w:rsidRPr="00E45E37">
        <w:t>).</w:t>
      </w:r>
      <w:r w:rsidR="004C3935" w:rsidRPr="00E45E37">
        <w:t xml:space="preserve"> Of concern with regards to occupational safety is motor and cognitive impairment that occurs with HD which can severely endanger the affected individual’s life and hence it becomes imperative that the care givers should provide a safe environment for the individual to live in. This is where occupational therapy assumes its vital role given the additional safety concerns for the patients as it can “</w:t>
      </w:r>
      <w:r w:rsidR="004C3935" w:rsidRPr="00E45E37">
        <w:rPr>
          <w:i/>
        </w:rPr>
        <w:t xml:space="preserve">serve as a vital resource for environmental </w:t>
      </w:r>
      <w:r w:rsidR="00E04F4F" w:rsidRPr="00E45E37">
        <w:rPr>
          <w:i/>
        </w:rPr>
        <w:t>modification</w:t>
      </w:r>
      <w:r w:rsidR="004C3935" w:rsidRPr="00E45E37">
        <w:rPr>
          <w:i/>
        </w:rPr>
        <w:t xml:space="preserve"> and </w:t>
      </w:r>
      <w:r w:rsidR="00E04F4F" w:rsidRPr="00E45E37">
        <w:rPr>
          <w:i/>
        </w:rPr>
        <w:t xml:space="preserve">safety </w:t>
      </w:r>
      <w:r w:rsidR="004C3935" w:rsidRPr="00E45E37">
        <w:rPr>
          <w:i/>
        </w:rPr>
        <w:t>training and awareness</w:t>
      </w:r>
      <w:r w:rsidR="004C3935" w:rsidRPr="00E45E37">
        <w:t>” (Jones &amp; Thompson, 2015). In terms of societal issues, the patient can depict some form of social withdrawal as the disease progresses which can make it hard for a care giver to get through to them to help them go by life w</w:t>
      </w:r>
      <w:r w:rsidR="00E3040C" w:rsidRPr="00E45E37">
        <w:t xml:space="preserve">ith a little bit of ease. The progressive behavioral and cognitive decline associated with the progression of the disease might impact how the patients relate with other members of the community especially for those who develop psychosis like symptoms such as aggression. </w:t>
      </w:r>
    </w:p>
    <w:p w:rsidR="00016AC0" w:rsidRPr="00E45E37" w:rsidRDefault="00E3040C" w:rsidP="00BA730E">
      <w:pPr>
        <w:spacing w:line="480" w:lineRule="auto"/>
        <w:ind w:firstLine="720"/>
      </w:pPr>
      <w:r w:rsidRPr="00E45E37">
        <w:t xml:space="preserve">The symptomatology depicted by the patient depicts the amount of stigmatization and discrimination that they experience from the other members of the community in which they live in. This is rendered possible given the </w:t>
      </w:r>
      <w:r w:rsidR="00E04F4F" w:rsidRPr="00E45E37">
        <w:t xml:space="preserve">high scores for </w:t>
      </w:r>
      <w:r w:rsidRPr="00E45E37">
        <w:t xml:space="preserve">internalizing factors such as anxiety, depression, and isolation that </w:t>
      </w:r>
      <w:r w:rsidR="00E04F4F" w:rsidRPr="00E45E37">
        <w:t xml:space="preserve">come with the progression of the disease (da Silva, Lindau, &amp; </w:t>
      </w:r>
      <w:proofErr w:type="spellStart"/>
      <w:r w:rsidR="00E04F4F" w:rsidRPr="00E45E37">
        <w:t>Giacheti</w:t>
      </w:r>
      <w:proofErr w:type="spellEnd"/>
      <w:r w:rsidR="00E04F4F" w:rsidRPr="00E45E37">
        <w:t xml:space="preserve">, 2015). There are also studies that have been able to substantially report on the advent of stigma and genetic discrimination by people at risk for Huntington disease internationally (Williams et al., 2010). This kind of discrimination for at risk individuals is being experienced at in the workplaces, when they are seeking insurance, within social relationships, and during other daily encounters (Williams et al., 2010). The amount of discrimination and hence stigma that </w:t>
      </w:r>
      <w:r w:rsidR="00E04F4F" w:rsidRPr="00E45E37">
        <w:lastRenderedPageBreak/>
        <w:t>arises in these situations is governed by both policy and interpersonal factors that dictate the outcome of potentially discriminating events (Williams et al., 2010).</w:t>
      </w:r>
    </w:p>
    <w:p w:rsidR="00930E32" w:rsidRPr="000A1C11" w:rsidRDefault="00930E32" w:rsidP="00FD0B27">
      <w:pPr>
        <w:spacing w:line="480" w:lineRule="auto"/>
        <w:jc w:val="center"/>
        <w:rPr>
          <w:b/>
        </w:rPr>
      </w:pPr>
      <w:r w:rsidRPr="000A1C11">
        <w:rPr>
          <w:b/>
        </w:rPr>
        <w:t xml:space="preserve">Roles </w:t>
      </w:r>
      <w:r w:rsidR="00FD0B27" w:rsidRPr="000A1C11">
        <w:rPr>
          <w:b/>
        </w:rPr>
        <w:t xml:space="preserve">of </w:t>
      </w:r>
      <w:r w:rsidRPr="000A1C11">
        <w:rPr>
          <w:b/>
        </w:rPr>
        <w:t xml:space="preserve">Rehabilitation Counselors </w:t>
      </w:r>
      <w:r w:rsidR="00FD0B27" w:rsidRPr="000A1C11">
        <w:rPr>
          <w:b/>
        </w:rPr>
        <w:t xml:space="preserve">and </w:t>
      </w:r>
      <w:r w:rsidRPr="000A1C11">
        <w:rPr>
          <w:b/>
        </w:rPr>
        <w:t xml:space="preserve">Laws </w:t>
      </w:r>
      <w:r w:rsidR="00FD0B27" w:rsidRPr="000A1C11">
        <w:rPr>
          <w:b/>
        </w:rPr>
        <w:t>to Protect the Affected Individuals</w:t>
      </w:r>
    </w:p>
    <w:p w:rsidR="00930E32" w:rsidRPr="00E45E37" w:rsidRDefault="00930E32" w:rsidP="00BA730E">
      <w:pPr>
        <w:spacing w:line="480" w:lineRule="auto"/>
        <w:ind w:firstLine="720"/>
      </w:pPr>
      <w:r w:rsidRPr="00E45E37">
        <w:t>The rehabilitation counselor plays a central role in providing supportive care for the affected individual and t</w:t>
      </w:r>
      <w:r w:rsidR="00AF37E7" w:rsidRPr="00E45E37">
        <w:t>o their families. Their role is to provide a way for the patient to cope with both emotional and psychological impacts that the disease has in their lives. There is the role of providing encouragement and support to the patient so that they can cope with the stigma and discrimination that comes with the disease. They achieve this by way of offering coping strategies and helping the patient through the implementation of the suggested coping strategies. They also help in listening to advising the primary care givers of patients suffering from Huntington’s disease. This is by way of providing a venue in which they could derive the much needed encouragement to continue with the care of the affected individual. The role of these counselors in the care of the patients with HD is further supported by the observation that “</w:t>
      </w:r>
      <w:r w:rsidR="00AF37E7" w:rsidRPr="00E45E37">
        <w:rPr>
          <w:i/>
        </w:rPr>
        <w:t>rehabilitation interventions are increasingly considered a key component to effective management of people with Huntington’s Disease (HD)</w:t>
      </w:r>
      <w:r w:rsidR="00AF37E7" w:rsidRPr="00E45E37">
        <w:t xml:space="preserve">” (Quinn &amp; </w:t>
      </w:r>
      <w:proofErr w:type="spellStart"/>
      <w:r w:rsidR="00AF37E7" w:rsidRPr="00E45E37">
        <w:t>Busee</w:t>
      </w:r>
      <w:proofErr w:type="spellEnd"/>
      <w:r w:rsidR="00AF37E7" w:rsidRPr="00E45E37">
        <w:t>, 2017).</w:t>
      </w:r>
    </w:p>
    <w:p w:rsidR="00AF37E7" w:rsidRPr="00E45E37" w:rsidRDefault="0002558C" w:rsidP="00BA730E">
      <w:pPr>
        <w:spacing w:line="480" w:lineRule="auto"/>
        <w:ind w:firstLine="720"/>
      </w:pPr>
      <w:r w:rsidRPr="00E45E37">
        <w:t>Lastly, looking at HD and its implication for the law, the impairments observed as occurring with the progression of the disease can have grave legal consequences for the affected individual, those at risk of developing the disease, and those who care for the affected individual. These legal ramifications are related to the evolving cognitive and psychiatric impairments present in the disease which can affect “</w:t>
      </w:r>
      <w:r w:rsidRPr="00E45E37">
        <w:rPr>
          <w:i/>
        </w:rPr>
        <w:t>outcomes in terms of involuntary status as mental health patients, testamentary capacity and the need for guardianship and administration</w:t>
      </w:r>
      <w:r w:rsidRPr="00E45E37">
        <w:t>” (</w:t>
      </w:r>
      <w:proofErr w:type="spellStart"/>
      <w:r w:rsidR="00956B41" w:rsidRPr="00E45E37">
        <w:t>Freckelton</w:t>
      </w:r>
      <w:proofErr w:type="spellEnd"/>
      <w:r w:rsidR="00956B41" w:rsidRPr="00E45E37">
        <w:t>, 2010</w:t>
      </w:r>
      <w:r w:rsidRPr="00E45E37">
        <w:t xml:space="preserve">). This implies that it can have effect upon </w:t>
      </w:r>
      <w:r w:rsidR="00956B41" w:rsidRPr="00E45E37">
        <w:t>“</w:t>
      </w:r>
      <w:r w:rsidRPr="00E45E37">
        <w:rPr>
          <w:i/>
        </w:rPr>
        <w:t xml:space="preserve">fitness for parenting, obligations for spousal </w:t>
      </w:r>
      <w:r w:rsidRPr="00E45E37">
        <w:rPr>
          <w:i/>
        </w:rPr>
        <w:lastRenderedPageBreak/>
        <w:t xml:space="preserve">maintenance, and the quantum of compensation from a tortious incident </w:t>
      </w:r>
      <w:r w:rsidR="00956B41" w:rsidRPr="00E45E37">
        <w:rPr>
          <w:i/>
        </w:rPr>
        <w:t>to which a person is entitled</w:t>
      </w:r>
      <w:r w:rsidR="00956B41" w:rsidRPr="00E45E37">
        <w:t>” (</w:t>
      </w:r>
      <w:proofErr w:type="spellStart"/>
      <w:r w:rsidR="00956B41" w:rsidRPr="00E45E37">
        <w:t>Freckelton</w:t>
      </w:r>
      <w:proofErr w:type="spellEnd"/>
      <w:r w:rsidR="00956B41" w:rsidRPr="00E45E37">
        <w:t xml:space="preserve">, 2010). </w:t>
      </w:r>
      <w:r w:rsidRPr="00E45E37">
        <w:t>W</w:t>
      </w:r>
      <w:r w:rsidR="00AF37E7" w:rsidRPr="00E45E37">
        <w:t xml:space="preserve">ith regards to the laws in place to address the challenges faced by the affected individuals, </w:t>
      </w:r>
      <w:r w:rsidR="00956B41" w:rsidRPr="00E45E37">
        <w:t>is the ethical code of conduct that governs the disclosing of a clinical diagnosis to the affected parties. The regulation is so that the making of the genetic diagnosis of HD and providing information regarding the disease status, should be made earlier rather than later, so that they respect the person’s right to know and preserve honesty in the doctor/patient relationship. Conversely, the regulations direct that delaying the diagnosis respects the patient’s right not to know, avoids potential discrimination, and permits the person to live a “normal” life for longer, in the context of a disease without cure (</w:t>
      </w:r>
      <w:proofErr w:type="spellStart"/>
      <w:r w:rsidR="001D4E2D" w:rsidRPr="00E45E37">
        <w:t>McCusker</w:t>
      </w:r>
      <w:proofErr w:type="spellEnd"/>
      <w:r w:rsidR="001D4E2D" w:rsidRPr="00E45E37">
        <w:t xml:space="preserve"> &amp; Loy, 2017</w:t>
      </w:r>
      <w:r w:rsidR="00956B41" w:rsidRPr="00E45E37">
        <w:t>).</w:t>
      </w:r>
    </w:p>
    <w:p w:rsidR="00BA730E" w:rsidRDefault="00BA730E">
      <w:r>
        <w:br w:type="page"/>
      </w:r>
    </w:p>
    <w:p w:rsidR="00616710" w:rsidRPr="00FD0B27" w:rsidRDefault="00616710" w:rsidP="00BA730E">
      <w:pPr>
        <w:spacing w:line="480" w:lineRule="auto"/>
        <w:jc w:val="center"/>
        <w:rPr>
          <w:b/>
        </w:rPr>
      </w:pPr>
      <w:r w:rsidRPr="00FD0B27">
        <w:rPr>
          <w:b/>
        </w:rPr>
        <w:lastRenderedPageBreak/>
        <w:t>References</w:t>
      </w:r>
    </w:p>
    <w:p w:rsidR="00616710" w:rsidRPr="00E45E37" w:rsidRDefault="00616710" w:rsidP="00FD0B27">
      <w:pPr>
        <w:spacing w:after="0" w:line="480" w:lineRule="auto"/>
        <w:ind w:left="720" w:hanging="720"/>
      </w:pPr>
      <w:r w:rsidRPr="00E45E37">
        <w:t xml:space="preserve">Bhattacharyya, B. K. (2016). </w:t>
      </w:r>
      <w:proofErr w:type="gramStart"/>
      <w:r w:rsidRPr="00E45E37">
        <w:rPr>
          <w:i/>
        </w:rPr>
        <w:t>The Story of George Huntington and His Disease</w:t>
      </w:r>
      <w:r w:rsidRPr="00E45E37">
        <w:t>.</w:t>
      </w:r>
      <w:proofErr w:type="gramEnd"/>
      <w:r w:rsidRPr="00E45E37">
        <w:t xml:space="preserve"> Ann Indian </w:t>
      </w:r>
      <w:proofErr w:type="spellStart"/>
      <w:r w:rsidRPr="00E45E37">
        <w:t>Acad</w:t>
      </w:r>
      <w:proofErr w:type="spellEnd"/>
      <w:r w:rsidRPr="00E45E37">
        <w:t xml:space="preserve"> Neurology, 19(1): 25-28</w:t>
      </w:r>
      <w:bookmarkStart w:id="0" w:name="_GoBack"/>
      <w:bookmarkEnd w:id="0"/>
    </w:p>
    <w:p w:rsidR="00616710" w:rsidRPr="00E45E37" w:rsidRDefault="00616710" w:rsidP="00FD0B27">
      <w:pPr>
        <w:spacing w:after="0" w:line="480" w:lineRule="auto"/>
        <w:ind w:left="720" w:hanging="720"/>
      </w:pPr>
      <w:proofErr w:type="gramStart"/>
      <w:r w:rsidRPr="00E45E37">
        <w:t xml:space="preserve">Da Silva, S., Lindau, T., &amp; </w:t>
      </w:r>
      <w:proofErr w:type="spellStart"/>
      <w:r w:rsidRPr="00E45E37">
        <w:t>Giacheti</w:t>
      </w:r>
      <w:proofErr w:type="spellEnd"/>
      <w:r w:rsidRPr="00E45E37">
        <w:t>, M. (2015).</w:t>
      </w:r>
      <w:proofErr w:type="gramEnd"/>
      <w:r w:rsidRPr="00E45E37">
        <w:t xml:space="preserve"> </w:t>
      </w:r>
      <w:proofErr w:type="gramStart"/>
      <w:r w:rsidRPr="00E45E37">
        <w:t xml:space="preserve">Behavior, Social Competence and Quality of Life in </w:t>
      </w:r>
      <w:r w:rsidR="00A32854" w:rsidRPr="00E45E37">
        <w:t>Huntington’s disease</w:t>
      </w:r>
      <w:r w:rsidRPr="00E45E37">
        <w:t>.</w:t>
      </w:r>
      <w:proofErr w:type="gramEnd"/>
      <w:r w:rsidRPr="00E45E37">
        <w:t xml:space="preserve"> </w:t>
      </w:r>
      <w:r w:rsidRPr="00E45E37">
        <w:rPr>
          <w:i/>
        </w:rPr>
        <w:t>CEFAC</w:t>
      </w:r>
      <w:r w:rsidRPr="00E45E37">
        <w:t>, 17(6)</w:t>
      </w:r>
    </w:p>
    <w:p w:rsidR="00616710" w:rsidRPr="00E45E37" w:rsidRDefault="00616710" w:rsidP="00FD0B27">
      <w:pPr>
        <w:spacing w:after="0" w:line="480" w:lineRule="auto"/>
        <w:ind w:left="720" w:hanging="720"/>
      </w:pPr>
      <w:proofErr w:type="spellStart"/>
      <w:proofErr w:type="gramStart"/>
      <w:r w:rsidRPr="00E45E37">
        <w:t>Dayalu</w:t>
      </w:r>
      <w:proofErr w:type="spellEnd"/>
      <w:r w:rsidRPr="00E45E37">
        <w:t xml:space="preserve">, P. &amp; </w:t>
      </w:r>
      <w:proofErr w:type="spellStart"/>
      <w:r w:rsidRPr="00E45E37">
        <w:t>Albin</w:t>
      </w:r>
      <w:proofErr w:type="spellEnd"/>
      <w:r w:rsidRPr="00E45E37">
        <w:t>, R. (2015).</w:t>
      </w:r>
      <w:proofErr w:type="gramEnd"/>
      <w:r w:rsidRPr="00E45E37">
        <w:t xml:space="preserve"> Huntington Disease: Pathogenesis and Treatment. </w:t>
      </w:r>
      <w:r w:rsidRPr="00E45E37">
        <w:rPr>
          <w:i/>
        </w:rPr>
        <w:t>Neurologic Clinics</w:t>
      </w:r>
      <w:r w:rsidRPr="00E45E37">
        <w:t>, 33(1): 101-14</w:t>
      </w:r>
    </w:p>
    <w:p w:rsidR="00616710" w:rsidRPr="00E45E37" w:rsidRDefault="00616710" w:rsidP="00FD0B27">
      <w:pPr>
        <w:spacing w:after="0" w:line="480" w:lineRule="auto"/>
        <w:ind w:left="720" w:hanging="720"/>
      </w:pPr>
      <w:proofErr w:type="spellStart"/>
      <w:r w:rsidRPr="00E45E37">
        <w:t>Freckelton</w:t>
      </w:r>
      <w:proofErr w:type="spellEnd"/>
      <w:r w:rsidRPr="00E45E37">
        <w:t xml:space="preserve">, I. (2010). </w:t>
      </w:r>
      <w:proofErr w:type="gramStart"/>
      <w:r w:rsidRPr="00E45E37">
        <w:t>Huntington’s disease and the Law.</w:t>
      </w:r>
      <w:proofErr w:type="gramEnd"/>
      <w:r w:rsidRPr="00E45E37">
        <w:t xml:space="preserve"> </w:t>
      </w:r>
      <w:r w:rsidRPr="00E45E37">
        <w:rPr>
          <w:i/>
        </w:rPr>
        <w:t>Journal of Law and Medicine</w:t>
      </w:r>
      <w:r w:rsidRPr="00E45E37">
        <w:t>, 18(1): 7-18</w:t>
      </w:r>
    </w:p>
    <w:p w:rsidR="00616710" w:rsidRPr="00E45E37" w:rsidRDefault="00616710" w:rsidP="00FD0B27">
      <w:pPr>
        <w:spacing w:after="0" w:line="480" w:lineRule="auto"/>
        <w:ind w:left="720" w:hanging="720"/>
      </w:pPr>
      <w:proofErr w:type="gramStart"/>
      <w:r w:rsidRPr="00E45E37">
        <w:t>Hawkins, K. A., Creighton, S., &amp; Hayden, R. M. (2013).</w:t>
      </w:r>
      <w:proofErr w:type="gramEnd"/>
      <w:r w:rsidRPr="00E45E37">
        <w:t xml:space="preserve"> </w:t>
      </w:r>
      <w:proofErr w:type="gramStart"/>
      <w:r w:rsidRPr="00E45E37">
        <w:t>When Access is an Issue: Exploring Barriers to Predictive Testing for Huntington Disease in British Columbia, Canada.</w:t>
      </w:r>
      <w:proofErr w:type="gramEnd"/>
      <w:r w:rsidRPr="00E45E37">
        <w:t xml:space="preserve"> </w:t>
      </w:r>
      <w:proofErr w:type="spellStart"/>
      <w:r w:rsidRPr="00E45E37">
        <w:rPr>
          <w:i/>
        </w:rPr>
        <w:t>Eur</w:t>
      </w:r>
      <w:proofErr w:type="spellEnd"/>
      <w:r w:rsidRPr="00E45E37">
        <w:rPr>
          <w:i/>
        </w:rPr>
        <w:t xml:space="preserve"> J Hum </w:t>
      </w:r>
      <w:proofErr w:type="gramStart"/>
      <w:r w:rsidRPr="00E45E37">
        <w:rPr>
          <w:i/>
        </w:rPr>
        <w:t>Genet</w:t>
      </w:r>
      <w:r w:rsidRPr="00E45E37">
        <w:t>.,</w:t>
      </w:r>
      <w:proofErr w:type="gramEnd"/>
      <w:r w:rsidRPr="00E45E37">
        <w:t xml:space="preserve"> 21(2): 148-153</w:t>
      </w:r>
    </w:p>
    <w:p w:rsidR="003E4E89" w:rsidRDefault="00FE403E" w:rsidP="00FD0B27">
      <w:pPr>
        <w:spacing w:after="0" w:line="480" w:lineRule="auto"/>
        <w:ind w:left="720" w:hanging="720"/>
      </w:pPr>
      <w:r>
        <w:t>Huntington’s disease</w:t>
      </w:r>
      <w:r w:rsidR="003E4E89">
        <w:t xml:space="preserve"> Society of America (HDSA) (2020). </w:t>
      </w:r>
      <w:proofErr w:type="gramStart"/>
      <w:r w:rsidR="003E4E89" w:rsidRPr="003E4E89">
        <w:rPr>
          <w:i/>
        </w:rPr>
        <w:t xml:space="preserve">Overview of </w:t>
      </w:r>
      <w:r w:rsidRPr="003E4E89">
        <w:rPr>
          <w:i/>
        </w:rPr>
        <w:t>Huntington’s disease</w:t>
      </w:r>
      <w:r w:rsidR="003E4E89">
        <w:t>.</w:t>
      </w:r>
      <w:proofErr w:type="gramEnd"/>
      <w:r w:rsidR="003E4E89">
        <w:t xml:space="preserve"> Retrieved </w:t>
      </w:r>
      <w:r>
        <w:t xml:space="preserve">from </w:t>
      </w:r>
      <w:hyperlink r:id="rId7" w:history="1">
        <w:r w:rsidR="003E4E89" w:rsidRPr="00086B8D">
          <w:rPr>
            <w:rStyle w:val="Hyperlink"/>
          </w:rPr>
          <w:t>https://hdsa.org/what-is-hd/overview-of-huntingtons-disease/</w:t>
        </w:r>
      </w:hyperlink>
      <w:r w:rsidR="003E4E89">
        <w:t xml:space="preserve"> </w:t>
      </w:r>
    </w:p>
    <w:p w:rsidR="00616710" w:rsidRPr="00E45E37" w:rsidRDefault="00616710" w:rsidP="00FD0B27">
      <w:pPr>
        <w:spacing w:after="0" w:line="480" w:lineRule="auto"/>
        <w:ind w:left="720" w:hanging="720"/>
      </w:pPr>
      <w:proofErr w:type="gramStart"/>
      <w:r w:rsidRPr="00E45E37">
        <w:t>John Hopkins Medicine (2020).</w:t>
      </w:r>
      <w:proofErr w:type="gramEnd"/>
      <w:r w:rsidRPr="00E45E37">
        <w:t xml:space="preserve"> </w:t>
      </w:r>
      <w:proofErr w:type="gramStart"/>
      <w:r w:rsidRPr="00E45E37">
        <w:rPr>
          <w:i/>
        </w:rPr>
        <w:t>About Huntington’s disease and Related Disorders</w:t>
      </w:r>
      <w:r w:rsidRPr="00E45E37">
        <w:t>.</w:t>
      </w:r>
      <w:proofErr w:type="gramEnd"/>
      <w:r w:rsidRPr="00E45E37">
        <w:t xml:space="preserve"> </w:t>
      </w:r>
      <w:proofErr w:type="gramStart"/>
      <w:r w:rsidR="00A32854" w:rsidRPr="00E45E37">
        <w:t>Huntington’s disease</w:t>
      </w:r>
      <w:r w:rsidRPr="00E45E37">
        <w:t xml:space="preserve"> Center.</w:t>
      </w:r>
      <w:proofErr w:type="gramEnd"/>
      <w:r w:rsidRPr="00E45E37">
        <w:t xml:space="preserve"> Retrieved from </w:t>
      </w:r>
      <w:hyperlink r:id="rId8" w:history="1">
        <w:r w:rsidRPr="00E45E37">
          <w:rPr>
            <w:rStyle w:val="Hyperlink"/>
          </w:rPr>
          <w:t>https://www.hopkinsmedicine.org/psychiatry/specialty_areas/huntingtons_disease/patient_family_resources/education_whatis.html</w:t>
        </w:r>
      </w:hyperlink>
      <w:r w:rsidRPr="00E45E37">
        <w:t xml:space="preserve"> </w:t>
      </w:r>
    </w:p>
    <w:p w:rsidR="00616710" w:rsidRPr="00E45E37" w:rsidRDefault="00616710" w:rsidP="00FD0B27">
      <w:pPr>
        <w:spacing w:after="0" w:line="480" w:lineRule="auto"/>
        <w:ind w:left="720" w:hanging="720"/>
      </w:pPr>
      <w:proofErr w:type="gramStart"/>
      <w:r w:rsidRPr="00E45E37">
        <w:t>Jones, J. &amp; Thompson, M. (2015).</w:t>
      </w:r>
      <w:proofErr w:type="gramEnd"/>
      <w:r w:rsidRPr="00E45E37">
        <w:t xml:space="preserve"> Implications of </w:t>
      </w:r>
      <w:r w:rsidR="00A32854" w:rsidRPr="00E45E37">
        <w:t>Huntington’s disease</w:t>
      </w:r>
      <w:r w:rsidRPr="00E45E37">
        <w:t xml:space="preserve"> on Daily Living: An Educational Tool and Guide for Occupational Therapists Treating Individuals with </w:t>
      </w:r>
      <w:r w:rsidR="00A32854" w:rsidRPr="00E45E37">
        <w:t>Huntington’s disease</w:t>
      </w:r>
      <w:r w:rsidRPr="00E45E37">
        <w:t xml:space="preserve">. </w:t>
      </w:r>
      <w:proofErr w:type="gramStart"/>
      <w:r w:rsidRPr="00E45E37">
        <w:rPr>
          <w:i/>
        </w:rPr>
        <w:t>Occupational Therapy Capstones</w:t>
      </w:r>
      <w:r w:rsidRPr="00E45E37">
        <w:t>, 101.</w:t>
      </w:r>
      <w:proofErr w:type="gramEnd"/>
    </w:p>
    <w:p w:rsidR="00616710" w:rsidRPr="00E45E37" w:rsidRDefault="00616710" w:rsidP="00FD0B27">
      <w:pPr>
        <w:spacing w:after="0" w:line="480" w:lineRule="auto"/>
        <w:ind w:left="720" w:hanging="720"/>
      </w:pPr>
      <w:proofErr w:type="gramStart"/>
      <w:r w:rsidRPr="00E45E37">
        <w:t>Lawrence, D. M. (2009).</w:t>
      </w:r>
      <w:proofErr w:type="gramEnd"/>
      <w:r w:rsidRPr="00E45E37">
        <w:t xml:space="preserve"> </w:t>
      </w:r>
      <w:proofErr w:type="gramStart"/>
      <w:r w:rsidR="00A32854" w:rsidRPr="00E45E37">
        <w:rPr>
          <w:i/>
        </w:rPr>
        <w:t>Huntington’s disease</w:t>
      </w:r>
      <w:r w:rsidRPr="00E45E37">
        <w:t>.</w:t>
      </w:r>
      <w:proofErr w:type="gramEnd"/>
      <w:r w:rsidRPr="00E45E37">
        <w:t xml:space="preserve"> </w:t>
      </w:r>
      <w:r w:rsidR="00A32854" w:rsidRPr="00E45E37">
        <w:t>InfoBase</w:t>
      </w:r>
      <w:r w:rsidRPr="00E45E37">
        <w:t xml:space="preserve"> Publishing. P. 21</w:t>
      </w:r>
    </w:p>
    <w:p w:rsidR="00616710" w:rsidRPr="00E45E37" w:rsidRDefault="00616710" w:rsidP="00FD0B27">
      <w:pPr>
        <w:spacing w:after="0" w:line="480" w:lineRule="auto"/>
        <w:ind w:left="720" w:hanging="720"/>
      </w:pPr>
      <w:proofErr w:type="gramStart"/>
      <w:r w:rsidRPr="00E45E37">
        <w:lastRenderedPageBreak/>
        <w:t>Mayo Clinic (2020).</w:t>
      </w:r>
      <w:proofErr w:type="gramEnd"/>
      <w:r w:rsidRPr="00E45E37">
        <w:t xml:space="preserve"> </w:t>
      </w:r>
      <w:proofErr w:type="gramStart"/>
      <w:r w:rsidR="00A32854" w:rsidRPr="00E45E37">
        <w:rPr>
          <w:i/>
        </w:rPr>
        <w:t>Huntington’s disease</w:t>
      </w:r>
      <w:r w:rsidRPr="00E45E37">
        <w:t>.</w:t>
      </w:r>
      <w:proofErr w:type="gramEnd"/>
      <w:r w:rsidRPr="00E45E37">
        <w:t xml:space="preserve"> Retrieved from </w:t>
      </w:r>
      <w:hyperlink r:id="rId9" w:history="1">
        <w:r w:rsidRPr="00E45E37">
          <w:rPr>
            <w:rStyle w:val="Hyperlink"/>
          </w:rPr>
          <w:t>https://www.mayoclinic.org/diseases-conditions/huntingtons-disease/symptoms-causes/syc-20356117</w:t>
        </w:r>
      </w:hyperlink>
      <w:r w:rsidRPr="00E45E37">
        <w:t xml:space="preserve"> </w:t>
      </w:r>
    </w:p>
    <w:p w:rsidR="00616710" w:rsidRPr="00E45E37" w:rsidRDefault="00616710" w:rsidP="00FD0B27">
      <w:pPr>
        <w:spacing w:after="0" w:line="480" w:lineRule="auto"/>
        <w:ind w:left="720" w:hanging="720"/>
      </w:pPr>
      <w:proofErr w:type="spellStart"/>
      <w:proofErr w:type="gramStart"/>
      <w:r w:rsidRPr="00E45E37">
        <w:t>McColgan</w:t>
      </w:r>
      <w:proofErr w:type="spellEnd"/>
      <w:r w:rsidRPr="00E45E37">
        <w:t xml:space="preserve">, P. &amp; </w:t>
      </w:r>
      <w:proofErr w:type="spellStart"/>
      <w:r w:rsidRPr="00E45E37">
        <w:t>Tabrizi</w:t>
      </w:r>
      <w:proofErr w:type="spellEnd"/>
      <w:r w:rsidRPr="00E45E37">
        <w:t>, S. J. (2017).</w:t>
      </w:r>
      <w:proofErr w:type="gramEnd"/>
      <w:r w:rsidRPr="00E45E37">
        <w:t xml:space="preserve"> </w:t>
      </w:r>
      <w:r w:rsidR="00A32854" w:rsidRPr="00E45E37">
        <w:t>Huntington’s disease</w:t>
      </w:r>
      <w:r w:rsidRPr="00E45E37">
        <w:t xml:space="preserve">: A Clinical Review. </w:t>
      </w:r>
      <w:r w:rsidRPr="00E45E37">
        <w:rPr>
          <w:i/>
        </w:rPr>
        <w:t>European Journal of Neurology</w:t>
      </w:r>
      <w:r w:rsidRPr="00E45E37">
        <w:t>, 25(1): 24-34</w:t>
      </w:r>
    </w:p>
    <w:p w:rsidR="00616710" w:rsidRPr="00E45E37" w:rsidRDefault="00616710" w:rsidP="00FD0B27">
      <w:pPr>
        <w:spacing w:after="0" w:line="480" w:lineRule="auto"/>
        <w:ind w:left="720" w:hanging="720"/>
      </w:pPr>
      <w:proofErr w:type="spellStart"/>
      <w:proofErr w:type="gramStart"/>
      <w:r w:rsidRPr="00E45E37">
        <w:t>McCusker</w:t>
      </w:r>
      <w:proofErr w:type="spellEnd"/>
      <w:r w:rsidRPr="00E45E37">
        <w:t>, E. &amp; Louis, E. (2017).</w:t>
      </w:r>
      <w:proofErr w:type="gramEnd"/>
      <w:r w:rsidRPr="00E45E37">
        <w:t xml:space="preserve"> Huntington Disease: The Complexities of Making and Disclosing a Clinical Diagnosis after </w:t>
      </w:r>
      <w:r w:rsidR="00A32854" w:rsidRPr="00E45E37">
        <w:t>Pre</w:t>
      </w:r>
      <w:r w:rsidR="00A32854">
        <w:t>-</w:t>
      </w:r>
      <w:r w:rsidR="00A32854" w:rsidRPr="00E45E37">
        <w:t>manifest</w:t>
      </w:r>
      <w:r w:rsidRPr="00E45E37">
        <w:t xml:space="preserve"> Genetic Testing. </w:t>
      </w:r>
      <w:r w:rsidRPr="00E45E37">
        <w:rPr>
          <w:i/>
        </w:rPr>
        <w:t xml:space="preserve">Tremor Other </w:t>
      </w:r>
      <w:proofErr w:type="spellStart"/>
      <w:r w:rsidRPr="00E45E37">
        <w:rPr>
          <w:i/>
        </w:rPr>
        <w:t>Hyperkinet</w:t>
      </w:r>
      <w:proofErr w:type="spellEnd"/>
      <w:r w:rsidRPr="00E45E37">
        <w:rPr>
          <w:i/>
        </w:rPr>
        <w:t xml:space="preserve"> </w:t>
      </w:r>
      <w:proofErr w:type="spellStart"/>
      <w:r w:rsidRPr="00E45E37">
        <w:rPr>
          <w:i/>
        </w:rPr>
        <w:t>Mov</w:t>
      </w:r>
      <w:proofErr w:type="spellEnd"/>
      <w:r w:rsidRPr="00E45E37">
        <w:t xml:space="preserve"> (NY), 7: 467</w:t>
      </w:r>
    </w:p>
    <w:p w:rsidR="00616710" w:rsidRPr="00E45E37" w:rsidRDefault="00616710" w:rsidP="00FD0B27">
      <w:pPr>
        <w:spacing w:after="0" w:line="480" w:lineRule="auto"/>
        <w:ind w:left="720" w:hanging="720"/>
      </w:pPr>
      <w:proofErr w:type="gramStart"/>
      <w:r w:rsidRPr="00E45E37">
        <w:t>National Institute of Neurological Disorders and Stroke (NINDS) (2020).</w:t>
      </w:r>
      <w:proofErr w:type="gramEnd"/>
      <w:r w:rsidRPr="00E45E37">
        <w:t xml:space="preserve"> </w:t>
      </w:r>
      <w:r w:rsidR="00A32854" w:rsidRPr="00E45E37">
        <w:rPr>
          <w:i/>
        </w:rPr>
        <w:t>Huntington’s disease</w:t>
      </w:r>
      <w:r w:rsidRPr="00E45E37">
        <w:rPr>
          <w:i/>
        </w:rPr>
        <w:t xml:space="preserve"> Information Page</w:t>
      </w:r>
      <w:r w:rsidRPr="00E45E37">
        <w:t xml:space="preserve">. Retrieved from </w:t>
      </w:r>
      <w:hyperlink r:id="rId10" w:history="1">
        <w:r w:rsidRPr="00E45E37">
          <w:rPr>
            <w:rStyle w:val="Hyperlink"/>
          </w:rPr>
          <w:t>https://www.ninds.nih.gov/Disorders/All-Disorders/Huntingtons-Disease-Information-Page</w:t>
        </w:r>
      </w:hyperlink>
      <w:r w:rsidRPr="00E45E37">
        <w:t xml:space="preserve"> </w:t>
      </w:r>
    </w:p>
    <w:p w:rsidR="00616710" w:rsidRPr="00E45E37" w:rsidRDefault="00616710" w:rsidP="00FD0B27">
      <w:pPr>
        <w:spacing w:after="0" w:line="480" w:lineRule="auto"/>
        <w:ind w:left="720" w:hanging="720"/>
      </w:pPr>
      <w:proofErr w:type="gramStart"/>
      <w:r w:rsidRPr="00E45E37">
        <w:t xml:space="preserve">Quinn, L. &amp; </w:t>
      </w:r>
      <w:proofErr w:type="spellStart"/>
      <w:r w:rsidRPr="00E45E37">
        <w:t>Busee</w:t>
      </w:r>
      <w:proofErr w:type="spellEnd"/>
      <w:r w:rsidRPr="00E45E37">
        <w:t>, M. (2017).</w:t>
      </w:r>
      <w:proofErr w:type="gramEnd"/>
      <w:r w:rsidRPr="00E45E37">
        <w:t xml:space="preserve"> </w:t>
      </w:r>
      <w:proofErr w:type="gramStart"/>
      <w:r w:rsidRPr="00E45E37">
        <w:t>The Role of Rehabilitation Therapy in Huntington Disease.</w:t>
      </w:r>
      <w:proofErr w:type="gramEnd"/>
      <w:r w:rsidRPr="00E45E37">
        <w:t xml:space="preserve"> </w:t>
      </w:r>
      <w:r w:rsidRPr="00E45E37">
        <w:rPr>
          <w:i/>
        </w:rPr>
        <w:t>Handbook of Clinical Neurology</w:t>
      </w:r>
      <w:r w:rsidRPr="00E45E37">
        <w:t>, 144: 151-165</w:t>
      </w:r>
    </w:p>
    <w:p w:rsidR="00616710" w:rsidRPr="00E45E37" w:rsidRDefault="00616710" w:rsidP="00FD0B27">
      <w:pPr>
        <w:spacing w:after="0" w:line="480" w:lineRule="auto"/>
        <w:ind w:left="720" w:hanging="720"/>
      </w:pPr>
      <w:proofErr w:type="spellStart"/>
      <w:r w:rsidRPr="00E45E37">
        <w:t>Roos</w:t>
      </w:r>
      <w:proofErr w:type="spellEnd"/>
      <w:r w:rsidRPr="00E45E37">
        <w:t xml:space="preserve">, R. A. C. (2010). </w:t>
      </w:r>
      <w:r w:rsidR="00A32854" w:rsidRPr="00E45E37">
        <w:t>Huntington’s disease</w:t>
      </w:r>
      <w:r w:rsidRPr="00E45E37">
        <w:t xml:space="preserve">: A Clinical Review. </w:t>
      </w:r>
      <w:proofErr w:type="spellStart"/>
      <w:r w:rsidRPr="00E45E37">
        <w:rPr>
          <w:i/>
        </w:rPr>
        <w:t>Orphanet</w:t>
      </w:r>
      <w:proofErr w:type="spellEnd"/>
      <w:r w:rsidRPr="00E45E37">
        <w:rPr>
          <w:i/>
        </w:rPr>
        <w:t xml:space="preserve"> J Rare Dis.</w:t>
      </w:r>
      <w:r w:rsidRPr="00E45E37">
        <w:t>, 5: 40</w:t>
      </w:r>
    </w:p>
    <w:p w:rsidR="00616710" w:rsidRPr="00E45E37" w:rsidRDefault="00A32854" w:rsidP="00FD0B27">
      <w:pPr>
        <w:spacing w:after="0" w:line="480" w:lineRule="auto"/>
        <w:ind w:left="720" w:hanging="720"/>
      </w:pPr>
      <w:r w:rsidRPr="00E45E37">
        <w:t>Williams</w:t>
      </w:r>
      <w:r w:rsidR="00616710" w:rsidRPr="00E45E37">
        <w:t xml:space="preserve">, J., Erwin, C., </w:t>
      </w:r>
      <w:proofErr w:type="spellStart"/>
      <w:r w:rsidR="00616710" w:rsidRPr="00E45E37">
        <w:t>Juhl</w:t>
      </w:r>
      <w:proofErr w:type="spellEnd"/>
      <w:r w:rsidR="00616710" w:rsidRPr="00E45E37">
        <w:t xml:space="preserve">, A., </w:t>
      </w:r>
      <w:proofErr w:type="spellStart"/>
      <w:r w:rsidR="00616710" w:rsidRPr="00E45E37">
        <w:t>Mengeling</w:t>
      </w:r>
      <w:proofErr w:type="spellEnd"/>
      <w:r w:rsidR="00616710" w:rsidRPr="00E45E37">
        <w:t xml:space="preserve">, M., Bombard, Y., Hayden, M., Quaid, K., </w:t>
      </w:r>
      <w:proofErr w:type="spellStart"/>
      <w:r w:rsidR="00616710" w:rsidRPr="00E45E37">
        <w:t>Shoulson</w:t>
      </w:r>
      <w:proofErr w:type="spellEnd"/>
      <w:r w:rsidR="00616710" w:rsidRPr="00E45E37">
        <w:t xml:space="preserve">, I., Taylor, S., &amp; Paulsen, J. (2010). In their own Words: Reports of Stigma and Genetic Discrimination by People at Risk for </w:t>
      </w:r>
      <w:r w:rsidRPr="00E45E37">
        <w:t>Huntington’s disease</w:t>
      </w:r>
      <w:r w:rsidR="00616710" w:rsidRPr="00E45E37">
        <w:t xml:space="preserve"> in the International RESPOND-HD Study. </w:t>
      </w:r>
      <w:r w:rsidR="00616710" w:rsidRPr="00E45E37">
        <w:rPr>
          <w:i/>
        </w:rPr>
        <w:t xml:space="preserve">Am J Med Genet B </w:t>
      </w:r>
      <w:proofErr w:type="spellStart"/>
      <w:r w:rsidR="00616710" w:rsidRPr="00E45E37">
        <w:rPr>
          <w:i/>
        </w:rPr>
        <w:t>Neuropsychiatr</w:t>
      </w:r>
      <w:proofErr w:type="spellEnd"/>
      <w:r w:rsidR="00616710" w:rsidRPr="00E45E37">
        <w:rPr>
          <w:i/>
        </w:rPr>
        <w:t xml:space="preserve"> Genet.</w:t>
      </w:r>
      <w:r w:rsidR="00616710" w:rsidRPr="00E45E37">
        <w:t xml:space="preserve">, </w:t>
      </w:r>
      <w:r w:rsidRPr="00E45E37">
        <w:t>153B (</w:t>
      </w:r>
      <w:r w:rsidR="00616710" w:rsidRPr="00E45E37">
        <w:t>6): 1150-1159</w:t>
      </w:r>
    </w:p>
    <w:sectPr w:rsidR="00616710" w:rsidRPr="00E45E3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E87" w:rsidRDefault="00083E87" w:rsidP="00E45E37">
      <w:pPr>
        <w:spacing w:after="0" w:line="240" w:lineRule="auto"/>
      </w:pPr>
      <w:r>
        <w:separator/>
      </w:r>
    </w:p>
  </w:endnote>
  <w:endnote w:type="continuationSeparator" w:id="0">
    <w:p w:rsidR="00083E87" w:rsidRDefault="00083E87" w:rsidP="00E45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E87" w:rsidRDefault="00083E87" w:rsidP="00E45E37">
      <w:pPr>
        <w:spacing w:after="0" w:line="240" w:lineRule="auto"/>
      </w:pPr>
      <w:r>
        <w:separator/>
      </w:r>
    </w:p>
  </w:footnote>
  <w:footnote w:type="continuationSeparator" w:id="0">
    <w:p w:rsidR="00083E87" w:rsidRDefault="00083E87" w:rsidP="00E45E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4962845"/>
      <w:docPartObj>
        <w:docPartGallery w:val="Page Numbers (Top of Page)"/>
        <w:docPartUnique/>
      </w:docPartObj>
    </w:sdtPr>
    <w:sdtEndPr>
      <w:rPr>
        <w:noProof/>
      </w:rPr>
    </w:sdtEndPr>
    <w:sdtContent>
      <w:p w:rsidR="00E45E37" w:rsidRDefault="00E45E37">
        <w:pPr>
          <w:pStyle w:val="Header"/>
          <w:jc w:val="right"/>
        </w:pPr>
        <w:r>
          <w:fldChar w:fldCharType="begin"/>
        </w:r>
        <w:r>
          <w:instrText xml:space="preserve"> PAGE   \* MERGEFORMAT </w:instrText>
        </w:r>
        <w:r>
          <w:fldChar w:fldCharType="separate"/>
        </w:r>
        <w:r w:rsidR="00FD0B27">
          <w:rPr>
            <w:noProof/>
          </w:rPr>
          <w:t>13</w:t>
        </w:r>
        <w:r>
          <w:rPr>
            <w:noProof/>
          </w:rPr>
          <w:fldChar w:fldCharType="end"/>
        </w:r>
      </w:p>
    </w:sdtContent>
  </w:sdt>
  <w:p w:rsidR="00E45E37" w:rsidRDefault="00E45E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00C"/>
    <w:rsid w:val="00016AC0"/>
    <w:rsid w:val="0002558C"/>
    <w:rsid w:val="000442FB"/>
    <w:rsid w:val="00083E87"/>
    <w:rsid w:val="000A1C11"/>
    <w:rsid w:val="000D02A1"/>
    <w:rsid w:val="000F76FF"/>
    <w:rsid w:val="001D4E2D"/>
    <w:rsid w:val="00223A33"/>
    <w:rsid w:val="00321B48"/>
    <w:rsid w:val="00322688"/>
    <w:rsid w:val="003506CF"/>
    <w:rsid w:val="00370474"/>
    <w:rsid w:val="003E4E89"/>
    <w:rsid w:val="003F22F7"/>
    <w:rsid w:val="004A0DDC"/>
    <w:rsid w:val="004C3935"/>
    <w:rsid w:val="004D7896"/>
    <w:rsid w:val="0052031A"/>
    <w:rsid w:val="00565150"/>
    <w:rsid w:val="00616710"/>
    <w:rsid w:val="0066484E"/>
    <w:rsid w:val="006E1DF5"/>
    <w:rsid w:val="007328C7"/>
    <w:rsid w:val="00740400"/>
    <w:rsid w:val="0082000C"/>
    <w:rsid w:val="00886556"/>
    <w:rsid w:val="00901E44"/>
    <w:rsid w:val="0091637C"/>
    <w:rsid w:val="00930E32"/>
    <w:rsid w:val="00937F13"/>
    <w:rsid w:val="00956B41"/>
    <w:rsid w:val="009733C3"/>
    <w:rsid w:val="00A32854"/>
    <w:rsid w:val="00AE1A93"/>
    <w:rsid w:val="00AE3DDA"/>
    <w:rsid w:val="00AF37E7"/>
    <w:rsid w:val="00BA730E"/>
    <w:rsid w:val="00BC453B"/>
    <w:rsid w:val="00C22B88"/>
    <w:rsid w:val="00D26BAE"/>
    <w:rsid w:val="00D26F13"/>
    <w:rsid w:val="00E04F4F"/>
    <w:rsid w:val="00E3040C"/>
    <w:rsid w:val="00E45E37"/>
    <w:rsid w:val="00E6286E"/>
    <w:rsid w:val="00E83DA1"/>
    <w:rsid w:val="00EF3CA5"/>
    <w:rsid w:val="00F266E5"/>
    <w:rsid w:val="00FA3959"/>
    <w:rsid w:val="00FD0B27"/>
    <w:rsid w:val="00FE4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6710"/>
    <w:rPr>
      <w:color w:val="0000FF" w:themeColor="hyperlink"/>
      <w:u w:val="single"/>
    </w:rPr>
  </w:style>
  <w:style w:type="paragraph" w:styleId="Header">
    <w:name w:val="header"/>
    <w:basedOn w:val="Normal"/>
    <w:link w:val="HeaderChar"/>
    <w:uiPriority w:val="99"/>
    <w:unhideWhenUsed/>
    <w:rsid w:val="00E45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E37"/>
  </w:style>
  <w:style w:type="paragraph" w:styleId="Footer">
    <w:name w:val="footer"/>
    <w:basedOn w:val="Normal"/>
    <w:link w:val="FooterChar"/>
    <w:uiPriority w:val="99"/>
    <w:unhideWhenUsed/>
    <w:rsid w:val="00E45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E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6710"/>
    <w:rPr>
      <w:color w:val="0000FF" w:themeColor="hyperlink"/>
      <w:u w:val="single"/>
    </w:rPr>
  </w:style>
  <w:style w:type="paragraph" w:styleId="Header">
    <w:name w:val="header"/>
    <w:basedOn w:val="Normal"/>
    <w:link w:val="HeaderChar"/>
    <w:uiPriority w:val="99"/>
    <w:unhideWhenUsed/>
    <w:rsid w:val="00E45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E37"/>
  </w:style>
  <w:style w:type="paragraph" w:styleId="Footer">
    <w:name w:val="footer"/>
    <w:basedOn w:val="Normal"/>
    <w:link w:val="FooterChar"/>
    <w:uiPriority w:val="99"/>
    <w:unhideWhenUsed/>
    <w:rsid w:val="00E45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pkinsmedicine.org/psychiatry/specialty_areas/huntingtons_disease/patient_family_resources/education_whati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dsa.org/what-is-hd/overview-of-huntingtons-diseas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inds.nih.gov/Disorders/All-Disorders/Huntingtons-Disease-Information-Page" TargetMode="External"/><Relationship Id="rId4" Type="http://schemas.openxmlformats.org/officeDocument/2006/relationships/webSettings" Target="webSettings.xml"/><Relationship Id="rId9" Type="http://schemas.openxmlformats.org/officeDocument/2006/relationships/hyperlink" Target="https://www.mayoclinic.org/diseases-conditions/huntingtons-disease/symptoms-causes/syc-203561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809</TotalTime>
  <Pages>14</Pages>
  <Words>3583</Words>
  <Characters>20429</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20</cp:revision>
  <dcterms:created xsi:type="dcterms:W3CDTF">2020-07-06T11:16:00Z</dcterms:created>
  <dcterms:modified xsi:type="dcterms:W3CDTF">2020-07-08T23:50:00Z</dcterms:modified>
</cp:coreProperties>
</file>